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beforeLines="100" w:line="480" w:lineRule="exact"/>
        <w:rPr>
          <w:rFonts w:hint="eastAsia" w:ascii="宋体" w:hAnsi="宋体"/>
          <w:b/>
          <w:bCs/>
          <w:kern w:val="44"/>
          <w:sz w:val="36"/>
          <w:szCs w:val="36"/>
        </w:rPr>
      </w:pPr>
      <w:r>
        <w:rPr>
          <w:rFonts w:hint="eastAsia" w:ascii="宋体" w:hAnsi="宋体"/>
          <w:b/>
          <w:bCs/>
          <w:kern w:val="44"/>
          <w:sz w:val="36"/>
          <w:szCs w:val="36"/>
        </w:rPr>
        <w:drawing>
          <wp:anchor distT="0" distB="0" distL="114300" distR="114300" simplePos="0" relativeHeight="251659264" behindDoc="0" locked="0" layoutInCell="1" allowOverlap="0">
            <wp:simplePos x="0" y="0"/>
            <wp:positionH relativeFrom="page">
              <wp:posOffset>1008380</wp:posOffset>
            </wp:positionH>
            <wp:positionV relativeFrom="page">
              <wp:posOffset>900430</wp:posOffset>
            </wp:positionV>
            <wp:extent cx="685800" cy="685800"/>
            <wp:effectExtent l="0" t="0" r="0" b="0"/>
            <wp:wrapNone/>
            <wp:docPr id="2" name="Picture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111"/>
                    <pic:cNvPicPr>
                      <a:picLocks noChangeAspect="1"/>
                    </pic:cNvPicPr>
                  </pic:nvPicPr>
                  <pic:blipFill>
                    <a:blip r:embed="rId22"/>
                    <a:stretch>
                      <a:fillRect/>
                    </a:stretch>
                  </pic:blipFill>
                  <pic:spPr>
                    <a:xfrm>
                      <a:off x="0" y="0"/>
                      <a:ext cx="685800" cy="685800"/>
                    </a:xfrm>
                    <a:prstGeom prst="rect">
                      <a:avLst/>
                    </a:prstGeom>
                    <a:noFill/>
                    <a:ln w="9525">
                      <a:noFill/>
                    </a:ln>
                  </pic:spPr>
                </pic:pic>
              </a:graphicData>
            </a:graphic>
          </wp:anchor>
        </w:drawing>
      </w:r>
      <w:r>
        <w:rPr>
          <w:rFonts w:hint="eastAsia" w:ascii="宋体" w:hAnsi="宋体"/>
          <w:b/>
          <w:bCs/>
          <w:kern w:val="44"/>
          <w:sz w:val="36"/>
          <w:szCs w:val="36"/>
        </w:rPr>
        <w:t xml:space="preserve">    </w:t>
      </w:r>
    </w:p>
    <w:p>
      <w:pPr>
        <w:tabs>
          <w:tab w:val="left" w:pos="5025"/>
        </w:tabs>
        <w:spacing w:before="240" w:beforeLines="100" w:line="480" w:lineRule="exact"/>
        <w:jc w:val="left"/>
        <w:rPr>
          <w:rFonts w:hint="eastAsia" w:ascii="宋体" w:hAnsi="宋体"/>
          <w:b/>
          <w:bCs/>
          <w:kern w:val="44"/>
          <w:sz w:val="36"/>
          <w:szCs w:val="36"/>
        </w:rPr>
      </w:pPr>
      <w:r>
        <w:rPr>
          <w:rFonts w:ascii="宋体" w:hAnsi="宋体"/>
          <w:b/>
          <w:bCs/>
          <w:kern w:val="44"/>
          <w:sz w:val="36"/>
          <w:szCs w:val="36"/>
        </w:rPr>
        <w:tab/>
      </w:r>
    </w:p>
    <w:p>
      <w:pPr>
        <w:spacing w:before="360" w:beforeLines="150" w:line="600" w:lineRule="exact"/>
        <w:jc w:val="center"/>
        <w:rPr>
          <w:rFonts w:hint="eastAsia" w:ascii="黑体" w:hAnsi="宋体" w:eastAsia="黑体"/>
          <w:b/>
          <w:bCs/>
          <w:kern w:val="44"/>
          <w:sz w:val="52"/>
          <w:szCs w:val="52"/>
        </w:rPr>
      </w:pPr>
      <w:r>
        <w:rPr>
          <w:rFonts w:hint="eastAsia" w:ascii="黑体" w:hAnsi="宋体" w:eastAsia="黑体"/>
          <w:b/>
          <w:bCs/>
          <w:kern w:val="44"/>
          <w:sz w:val="52"/>
          <w:szCs w:val="52"/>
        </w:rPr>
        <w:t>汕头职业技术学院</w:t>
      </w:r>
    </w:p>
    <w:p>
      <w:pPr>
        <w:spacing w:before="360" w:beforeLines="150" w:line="600" w:lineRule="exact"/>
        <w:jc w:val="center"/>
        <w:rPr>
          <w:rFonts w:hint="eastAsia" w:ascii="黑体" w:hAnsi="宋体" w:eastAsia="黑体"/>
          <w:b/>
          <w:bCs/>
          <w:kern w:val="44"/>
          <w:sz w:val="52"/>
          <w:szCs w:val="52"/>
        </w:rPr>
      </w:pPr>
      <w:r>
        <w:rPr>
          <w:rFonts w:hint="eastAsia" w:ascii="黑体" w:hAnsi="宋体" w:eastAsia="黑体"/>
          <w:b/>
          <w:bCs/>
          <w:kern w:val="44"/>
          <w:sz w:val="52"/>
          <w:szCs w:val="52"/>
        </w:rPr>
        <w:t>2016-2020年教育事业发展规划</w:t>
      </w:r>
    </w:p>
    <w:p>
      <w:pPr>
        <w:spacing w:before="360" w:beforeLines="150" w:line="600" w:lineRule="exact"/>
        <w:jc w:val="center"/>
        <w:rPr>
          <w:rFonts w:hint="eastAsia" w:ascii="黑体" w:hAnsi="宋体" w:eastAsia="黑体"/>
          <w:b/>
          <w:bCs/>
          <w:kern w:val="44"/>
          <w:sz w:val="52"/>
          <w:szCs w:val="52"/>
        </w:rPr>
      </w:pPr>
    </w:p>
    <w:p>
      <w:pPr>
        <w:spacing w:before="360" w:beforeLines="150" w:line="60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p>
    <w:p>
      <w:pPr>
        <w:spacing w:before="240" w:beforeLines="100" w:line="480" w:lineRule="exact"/>
        <w:jc w:val="center"/>
        <w:rPr>
          <w:rFonts w:hint="eastAsia" w:ascii="宋体" w:hAnsi="宋体"/>
          <w:b/>
          <w:bCs/>
          <w:kern w:val="44"/>
          <w:sz w:val="36"/>
          <w:szCs w:val="36"/>
        </w:rPr>
      </w:pPr>
      <w:bookmarkStart w:id="50" w:name="_GoBack"/>
      <w:bookmarkEnd w:id="50"/>
    </w:p>
    <w:p>
      <w:pPr>
        <w:spacing w:before="240" w:beforeLines="100" w:line="480" w:lineRule="exact"/>
        <w:jc w:val="center"/>
        <w:rPr>
          <w:rFonts w:hint="eastAsia" w:ascii="宋体" w:hAnsi="宋体"/>
          <w:b/>
          <w:bCs/>
          <w:kern w:val="44"/>
          <w:sz w:val="36"/>
          <w:szCs w:val="36"/>
        </w:rPr>
      </w:pPr>
    </w:p>
    <w:p>
      <w:pPr>
        <w:spacing w:line="480" w:lineRule="exact"/>
        <w:jc w:val="center"/>
        <w:rPr>
          <w:rFonts w:hint="eastAsia" w:ascii="宋体" w:hAnsi="宋体"/>
          <w:b/>
          <w:bCs/>
          <w:kern w:val="44"/>
          <w:sz w:val="36"/>
          <w:szCs w:val="36"/>
        </w:rPr>
      </w:pPr>
      <w:r>
        <w:rPr>
          <w:rFonts w:hint="eastAsia" w:ascii="宋体" w:hAnsi="宋体"/>
          <w:b/>
          <w:bCs/>
          <w:kern w:val="44"/>
          <w:sz w:val="36"/>
          <w:szCs w:val="36"/>
        </w:rPr>
        <w:t>二OO七年二月</w:t>
      </w:r>
    </w:p>
    <w:p>
      <w:pPr>
        <w:spacing w:line="480" w:lineRule="exact"/>
        <w:jc w:val="center"/>
        <w:rPr>
          <w:rFonts w:hint="eastAsia" w:ascii="宋体" w:hAnsi="宋体"/>
          <w:b/>
          <w:bCs/>
          <w:kern w:val="44"/>
          <w:sz w:val="36"/>
          <w:szCs w:val="36"/>
        </w:rPr>
      </w:pPr>
    </w:p>
    <w:p>
      <w:pPr>
        <w:spacing w:before="240" w:beforeLines="100" w:line="480" w:lineRule="exact"/>
        <w:jc w:val="center"/>
        <w:rPr>
          <w:rFonts w:hint="eastAsia" w:ascii="黑体" w:hAnsi="宋体" w:eastAsia="黑体"/>
          <w:b/>
          <w:bCs/>
          <w:kern w:val="44"/>
          <w:sz w:val="36"/>
          <w:szCs w:val="36"/>
        </w:rPr>
      </w:pPr>
      <w:r>
        <w:rPr>
          <w:rFonts w:hint="eastAsia" w:ascii="黑体" w:hAnsi="宋体" w:eastAsia="黑体"/>
          <w:b/>
          <w:bCs/>
          <w:kern w:val="44"/>
          <w:sz w:val="36"/>
          <w:szCs w:val="36"/>
        </w:rPr>
        <w:t>目  录</w:t>
      </w:r>
    </w:p>
    <w:p>
      <w:pPr>
        <w:spacing w:before="240" w:beforeLines="100" w:line="480" w:lineRule="exact"/>
        <w:jc w:val="center"/>
        <w:rPr>
          <w:rFonts w:hint="eastAsia" w:ascii="宋体" w:hAnsi="宋体"/>
          <w:b/>
          <w:bCs/>
          <w:kern w:val="44"/>
          <w:sz w:val="36"/>
          <w:szCs w:val="36"/>
        </w:rPr>
      </w:pPr>
    </w:p>
    <w:p>
      <w:pPr>
        <w:spacing w:before="240" w:beforeLines="100" w:line="480" w:lineRule="exact"/>
        <w:rPr>
          <w:rFonts w:hint="eastAsia" w:ascii="宋体" w:hAnsi="宋体"/>
          <w:b/>
          <w:bCs/>
          <w:kern w:val="44"/>
          <w:sz w:val="28"/>
          <w:szCs w:val="28"/>
        </w:rPr>
      </w:pPr>
      <w:r>
        <w:rPr>
          <w:rFonts w:hint="eastAsia" w:ascii="宋体" w:hAnsi="宋体"/>
          <w:b/>
          <w:bCs/>
          <w:kern w:val="44"/>
          <w:sz w:val="28"/>
          <w:szCs w:val="28"/>
        </w:rPr>
        <w:t>一、总体发展规划</w:t>
      </w:r>
    </w:p>
    <w:p>
      <w:pPr>
        <w:spacing w:before="240" w:beforeLines="100" w:line="480" w:lineRule="exact"/>
        <w:rPr>
          <w:rFonts w:hint="eastAsia" w:ascii="宋体" w:hAnsi="宋体"/>
          <w:bCs/>
          <w:kern w:val="44"/>
          <w:sz w:val="28"/>
          <w:szCs w:val="28"/>
        </w:rPr>
      </w:pPr>
      <w:r>
        <w:rPr>
          <w:rFonts w:hint="eastAsia" w:ascii="宋体" w:hAnsi="宋体"/>
          <w:bCs/>
          <w:kern w:val="44"/>
          <w:sz w:val="28"/>
          <w:szCs w:val="28"/>
        </w:rPr>
        <w:t>汕头职业技术学院“十三五”教育事业发展规划</w:t>
      </w:r>
      <w:r>
        <w:rPr>
          <w:sz w:val="28"/>
          <w:szCs w:val="28"/>
        </w:rPr>
        <w:t>……………</w:t>
      </w:r>
      <w:r>
        <w:rPr>
          <w:rFonts w:hint="eastAsia"/>
          <w:sz w:val="28"/>
          <w:szCs w:val="28"/>
        </w:rPr>
        <w:t>.</w:t>
      </w:r>
      <w:r>
        <w:rPr>
          <w:sz w:val="28"/>
          <w:szCs w:val="28"/>
        </w:rPr>
        <w:t>……</w:t>
      </w:r>
      <w:r>
        <w:rPr>
          <w:rFonts w:hint="eastAsia"/>
          <w:sz w:val="28"/>
          <w:szCs w:val="28"/>
        </w:rPr>
        <w:t>..</w:t>
      </w:r>
      <w:r>
        <w:rPr>
          <w:sz w:val="28"/>
          <w:szCs w:val="28"/>
        </w:rPr>
        <w:t>…</w:t>
      </w:r>
      <w:r>
        <w:rPr>
          <w:rFonts w:hint="eastAsia"/>
          <w:sz w:val="28"/>
          <w:szCs w:val="28"/>
        </w:rPr>
        <w:t>0</w:t>
      </w:r>
      <w:r>
        <w:rPr>
          <w:bCs/>
          <w:kern w:val="44"/>
          <w:sz w:val="28"/>
          <w:szCs w:val="28"/>
        </w:rPr>
        <w:t>1</w:t>
      </w:r>
    </w:p>
    <w:p>
      <w:pPr>
        <w:spacing w:before="240" w:beforeLines="100" w:line="480" w:lineRule="exact"/>
        <w:rPr>
          <w:rFonts w:hint="eastAsia" w:ascii="宋体" w:hAnsi="宋体"/>
          <w:b/>
          <w:bCs/>
          <w:kern w:val="44"/>
          <w:sz w:val="28"/>
          <w:szCs w:val="28"/>
        </w:rPr>
      </w:pPr>
      <w:r>
        <w:rPr>
          <w:rFonts w:hint="eastAsia" w:ascii="宋体" w:hAnsi="宋体"/>
          <w:b/>
          <w:bCs/>
          <w:kern w:val="44"/>
          <w:sz w:val="28"/>
          <w:szCs w:val="28"/>
        </w:rPr>
        <w:t>二、分项发展规划</w:t>
      </w:r>
    </w:p>
    <w:p>
      <w:pPr>
        <w:spacing w:before="240" w:beforeLines="100" w:line="480" w:lineRule="exact"/>
        <w:rPr>
          <w:sz w:val="28"/>
          <w:szCs w:val="28"/>
        </w:rPr>
      </w:pPr>
      <w:r>
        <w:rPr>
          <w:sz w:val="28"/>
          <w:szCs w:val="28"/>
        </w:rPr>
        <w:t>1.</w:t>
      </w:r>
      <w:r>
        <w:rPr>
          <w:rFonts w:hAnsi="宋体"/>
          <w:sz w:val="28"/>
          <w:szCs w:val="28"/>
        </w:rPr>
        <w:t>党的建设工作规划</w:t>
      </w:r>
      <w:r>
        <w:rPr>
          <w:sz w:val="28"/>
          <w:szCs w:val="28"/>
        </w:rPr>
        <w:t>…………………………………………</w:t>
      </w:r>
      <w:r>
        <w:rPr>
          <w:rFonts w:hint="eastAsia"/>
          <w:sz w:val="28"/>
          <w:szCs w:val="28"/>
        </w:rPr>
        <w:t>.</w:t>
      </w:r>
      <w:r>
        <w:rPr>
          <w:sz w:val="28"/>
          <w:szCs w:val="28"/>
        </w:rPr>
        <w:t>…</w:t>
      </w:r>
      <w:r>
        <w:rPr>
          <w:rFonts w:hint="eastAsia"/>
          <w:sz w:val="28"/>
          <w:szCs w:val="28"/>
        </w:rPr>
        <w:t>.</w:t>
      </w:r>
      <w:r>
        <w:rPr>
          <w:sz w:val="28"/>
          <w:szCs w:val="28"/>
        </w:rPr>
        <w:t>…</w:t>
      </w:r>
      <w:r>
        <w:rPr>
          <w:rFonts w:hint="eastAsia"/>
          <w:sz w:val="28"/>
          <w:szCs w:val="28"/>
        </w:rPr>
        <w:t>..</w:t>
      </w:r>
      <w:r>
        <w:rPr>
          <w:sz w:val="28"/>
          <w:szCs w:val="28"/>
        </w:rPr>
        <w:t>……32</w:t>
      </w:r>
    </w:p>
    <w:p>
      <w:pPr>
        <w:spacing w:before="240" w:beforeLines="100" w:line="480" w:lineRule="exact"/>
        <w:rPr>
          <w:sz w:val="28"/>
          <w:szCs w:val="28"/>
        </w:rPr>
      </w:pPr>
      <w:r>
        <w:rPr>
          <w:sz w:val="28"/>
          <w:szCs w:val="28"/>
        </w:rPr>
        <w:t>2.</w:t>
      </w:r>
      <w:r>
        <w:rPr>
          <w:rFonts w:hAnsi="宋体"/>
          <w:sz w:val="28"/>
          <w:szCs w:val="28"/>
        </w:rPr>
        <w:t>德育教育与校园文化规划</w:t>
      </w:r>
      <w:r>
        <w:rPr>
          <w:sz w:val="28"/>
          <w:szCs w:val="28"/>
        </w:rPr>
        <w:t>……………………………</w:t>
      </w:r>
      <w:r>
        <w:rPr>
          <w:rFonts w:hint="eastAsia"/>
          <w:sz w:val="28"/>
          <w:szCs w:val="28"/>
        </w:rPr>
        <w:t>.</w:t>
      </w:r>
      <w:r>
        <w:rPr>
          <w:sz w:val="28"/>
          <w:szCs w:val="28"/>
        </w:rPr>
        <w:t>………</w:t>
      </w:r>
      <w:r>
        <w:rPr>
          <w:rFonts w:hint="eastAsia"/>
          <w:sz w:val="28"/>
          <w:szCs w:val="28"/>
        </w:rPr>
        <w:t>.</w:t>
      </w:r>
      <w:r>
        <w:rPr>
          <w:sz w:val="28"/>
          <w:szCs w:val="28"/>
        </w:rPr>
        <w:t>……</w:t>
      </w:r>
      <w:r>
        <w:rPr>
          <w:rFonts w:hint="eastAsia"/>
          <w:sz w:val="28"/>
          <w:szCs w:val="28"/>
        </w:rPr>
        <w:t>..</w:t>
      </w:r>
      <w:r>
        <w:rPr>
          <w:sz w:val="28"/>
          <w:szCs w:val="28"/>
        </w:rPr>
        <w:t>…53</w:t>
      </w:r>
    </w:p>
    <w:p>
      <w:pPr>
        <w:spacing w:before="240" w:beforeLines="100" w:line="480" w:lineRule="exact"/>
        <w:rPr>
          <w:sz w:val="28"/>
          <w:szCs w:val="28"/>
        </w:rPr>
      </w:pPr>
      <w:r>
        <w:rPr>
          <w:sz w:val="28"/>
          <w:szCs w:val="28"/>
        </w:rPr>
        <w:t>3.</w:t>
      </w:r>
      <w:r>
        <w:rPr>
          <w:rFonts w:hAnsi="宋体"/>
          <w:sz w:val="28"/>
          <w:szCs w:val="28"/>
        </w:rPr>
        <w:t>人才队伍建设规划</w:t>
      </w:r>
      <w:r>
        <w:rPr>
          <w:sz w:val="28"/>
          <w:szCs w:val="28"/>
        </w:rPr>
        <w:t>……………………………………………</w:t>
      </w:r>
      <w:r>
        <w:rPr>
          <w:rFonts w:hint="eastAsia"/>
          <w:sz w:val="28"/>
          <w:szCs w:val="28"/>
        </w:rPr>
        <w:t>.</w:t>
      </w:r>
      <w:r>
        <w:rPr>
          <w:sz w:val="28"/>
          <w:szCs w:val="28"/>
        </w:rPr>
        <w:t>…</w:t>
      </w:r>
      <w:r>
        <w:rPr>
          <w:rFonts w:hint="eastAsia"/>
          <w:sz w:val="28"/>
          <w:szCs w:val="28"/>
        </w:rPr>
        <w:t>.</w:t>
      </w:r>
      <w:r>
        <w:rPr>
          <w:sz w:val="28"/>
          <w:szCs w:val="28"/>
        </w:rPr>
        <w:t>…</w:t>
      </w:r>
      <w:r>
        <w:rPr>
          <w:rFonts w:hint="eastAsia"/>
          <w:sz w:val="28"/>
          <w:szCs w:val="28"/>
        </w:rPr>
        <w:t>..</w:t>
      </w:r>
      <w:r>
        <w:rPr>
          <w:sz w:val="28"/>
          <w:szCs w:val="28"/>
        </w:rPr>
        <w:t>…66</w:t>
      </w:r>
    </w:p>
    <w:p>
      <w:pPr>
        <w:spacing w:before="240" w:beforeLines="100" w:line="480" w:lineRule="exact"/>
        <w:rPr>
          <w:sz w:val="28"/>
          <w:szCs w:val="28"/>
        </w:rPr>
      </w:pPr>
      <w:r>
        <w:rPr>
          <w:sz w:val="28"/>
          <w:szCs w:val="28"/>
        </w:rPr>
        <w:t>4.</w:t>
      </w:r>
      <w:r>
        <w:rPr>
          <w:rFonts w:hAnsi="宋体"/>
          <w:sz w:val="28"/>
          <w:szCs w:val="28"/>
        </w:rPr>
        <w:t>教育教学改革规划</w:t>
      </w:r>
      <w:r>
        <w:rPr>
          <w:sz w:val="28"/>
          <w:szCs w:val="28"/>
        </w:rPr>
        <w:t>……………………………………………</w:t>
      </w:r>
      <w:r>
        <w:rPr>
          <w:rFonts w:hint="eastAsia"/>
          <w:sz w:val="28"/>
          <w:szCs w:val="28"/>
        </w:rPr>
        <w:t>..</w:t>
      </w:r>
      <w:r>
        <w:rPr>
          <w:sz w:val="28"/>
          <w:szCs w:val="28"/>
        </w:rPr>
        <w:t>……</w:t>
      </w:r>
      <w:r>
        <w:rPr>
          <w:rFonts w:hint="eastAsia"/>
          <w:sz w:val="28"/>
          <w:szCs w:val="28"/>
        </w:rPr>
        <w:t>..</w:t>
      </w:r>
      <w:r>
        <w:rPr>
          <w:sz w:val="28"/>
          <w:szCs w:val="28"/>
        </w:rPr>
        <w:t>…77</w:t>
      </w:r>
    </w:p>
    <w:p>
      <w:pPr>
        <w:spacing w:before="240" w:beforeLines="100" w:line="480" w:lineRule="exact"/>
        <w:rPr>
          <w:sz w:val="28"/>
          <w:szCs w:val="28"/>
        </w:rPr>
      </w:pPr>
      <w:r>
        <w:rPr>
          <w:sz w:val="28"/>
          <w:szCs w:val="28"/>
        </w:rPr>
        <w:t>5.</w:t>
      </w:r>
      <w:r>
        <w:rPr>
          <w:rFonts w:hAnsi="宋体"/>
          <w:sz w:val="28"/>
          <w:szCs w:val="28"/>
        </w:rPr>
        <w:t>专业建设、课程建设规划</w:t>
      </w:r>
      <w:r>
        <w:rPr>
          <w:sz w:val="28"/>
          <w:szCs w:val="28"/>
        </w:rPr>
        <w:t>…………………………………</w:t>
      </w:r>
      <w:r>
        <w:rPr>
          <w:rFonts w:hint="eastAsia"/>
          <w:sz w:val="28"/>
          <w:szCs w:val="28"/>
        </w:rPr>
        <w:t>.</w:t>
      </w:r>
      <w:r>
        <w:rPr>
          <w:sz w:val="28"/>
          <w:szCs w:val="28"/>
        </w:rPr>
        <w:t>…</w:t>
      </w:r>
      <w:r>
        <w:rPr>
          <w:rFonts w:hint="eastAsia"/>
          <w:sz w:val="28"/>
          <w:szCs w:val="28"/>
        </w:rPr>
        <w:t>.</w:t>
      </w:r>
      <w:r>
        <w:rPr>
          <w:sz w:val="28"/>
          <w:szCs w:val="28"/>
        </w:rPr>
        <w:t>……</w:t>
      </w:r>
      <w:r>
        <w:rPr>
          <w:rFonts w:hint="eastAsia"/>
          <w:sz w:val="28"/>
          <w:szCs w:val="28"/>
        </w:rPr>
        <w:t>..</w:t>
      </w:r>
      <w:r>
        <w:rPr>
          <w:sz w:val="28"/>
          <w:szCs w:val="28"/>
        </w:rPr>
        <w:t>…85</w:t>
      </w:r>
    </w:p>
    <w:p>
      <w:pPr>
        <w:spacing w:before="240" w:beforeLines="100" w:line="480" w:lineRule="exact"/>
        <w:rPr>
          <w:sz w:val="28"/>
          <w:szCs w:val="28"/>
        </w:rPr>
      </w:pPr>
      <w:r>
        <w:rPr>
          <w:sz w:val="28"/>
          <w:szCs w:val="28"/>
        </w:rPr>
        <w:t>6.</w:t>
      </w:r>
      <w:r>
        <w:rPr>
          <w:rFonts w:hAnsi="宋体"/>
          <w:sz w:val="28"/>
          <w:szCs w:val="28"/>
        </w:rPr>
        <w:t>校园基本建设规划</w:t>
      </w:r>
      <w:r>
        <w:rPr>
          <w:sz w:val="28"/>
          <w:szCs w:val="28"/>
        </w:rPr>
        <w:t>……………………………………………</w:t>
      </w:r>
      <w:r>
        <w:rPr>
          <w:rFonts w:hint="eastAsia"/>
          <w:sz w:val="28"/>
          <w:szCs w:val="28"/>
        </w:rPr>
        <w:t>..</w:t>
      </w:r>
      <w:r>
        <w:rPr>
          <w:sz w:val="28"/>
          <w:szCs w:val="28"/>
        </w:rPr>
        <w:t>……</w:t>
      </w:r>
      <w:r>
        <w:rPr>
          <w:rFonts w:hint="eastAsia"/>
          <w:sz w:val="28"/>
          <w:szCs w:val="28"/>
        </w:rPr>
        <w:t>..</w:t>
      </w:r>
      <w:r>
        <w:rPr>
          <w:sz w:val="28"/>
          <w:szCs w:val="28"/>
        </w:rPr>
        <w:t>…95</w:t>
      </w:r>
    </w:p>
    <w:p>
      <w:pPr>
        <w:spacing w:before="240" w:beforeLines="100" w:line="480" w:lineRule="exact"/>
        <w:rPr>
          <w:rFonts w:hint="eastAsia"/>
          <w:sz w:val="28"/>
          <w:szCs w:val="28"/>
        </w:rPr>
      </w:pPr>
      <w:r>
        <w:rPr>
          <w:rFonts w:hint="eastAsia"/>
          <w:sz w:val="28"/>
          <w:szCs w:val="28"/>
        </w:rPr>
        <w:t>7.科技创新与社会服务规划.......................................................................105</w:t>
      </w:r>
    </w:p>
    <w:p>
      <w:pPr>
        <w:spacing w:before="240" w:beforeLines="100" w:line="480" w:lineRule="exact"/>
        <w:rPr>
          <w:rFonts w:hint="eastAsia"/>
          <w:sz w:val="28"/>
          <w:szCs w:val="28"/>
        </w:rPr>
      </w:pPr>
      <w:r>
        <w:rPr>
          <w:rFonts w:hint="eastAsia"/>
          <w:sz w:val="28"/>
          <w:szCs w:val="28"/>
        </w:rPr>
        <w:t>8.实践教学建设规划</w:t>
      </w:r>
      <w:r>
        <w:rPr>
          <w:sz w:val="28"/>
          <w:szCs w:val="28"/>
        </w:rPr>
        <w:t>………………………………………</w:t>
      </w:r>
      <w:r>
        <w:rPr>
          <w:rFonts w:hint="eastAsia"/>
          <w:sz w:val="28"/>
          <w:szCs w:val="28"/>
        </w:rPr>
        <w:t>..</w:t>
      </w:r>
      <w:r>
        <w:rPr>
          <w:sz w:val="28"/>
          <w:szCs w:val="28"/>
        </w:rPr>
        <w:t>………</w:t>
      </w:r>
      <w:r>
        <w:rPr>
          <w:rFonts w:hint="eastAsia"/>
          <w:sz w:val="28"/>
          <w:szCs w:val="28"/>
        </w:rPr>
        <w:t>.</w:t>
      </w:r>
      <w:r>
        <w:rPr>
          <w:sz w:val="28"/>
          <w:szCs w:val="28"/>
        </w:rPr>
        <w:t>……</w:t>
      </w:r>
      <w:r>
        <w:rPr>
          <w:rFonts w:hint="eastAsia"/>
          <w:sz w:val="28"/>
          <w:szCs w:val="28"/>
        </w:rPr>
        <w:t>116</w:t>
      </w:r>
    </w:p>
    <w:p>
      <w:pPr>
        <w:spacing w:before="240" w:beforeLines="100" w:line="480" w:lineRule="exact"/>
        <w:rPr>
          <w:rFonts w:hint="eastAsia"/>
          <w:sz w:val="28"/>
          <w:szCs w:val="28"/>
        </w:rPr>
      </w:pPr>
      <w:r>
        <w:rPr>
          <w:rFonts w:hint="eastAsia"/>
          <w:sz w:val="28"/>
          <w:szCs w:val="28"/>
        </w:rPr>
        <w:t>9.信息化建设规划</w:t>
      </w:r>
      <w:r>
        <w:rPr>
          <w:sz w:val="28"/>
          <w:szCs w:val="28"/>
        </w:rPr>
        <w:t>……………………………</w:t>
      </w:r>
      <w:r>
        <w:rPr>
          <w:rFonts w:hint="eastAsia"/>
          <w:sz w:val="28"/>
          <w:szCs w:val="28"/>
        </w:rPr>
        <w:t>..</w:t>
      </w:r>
      <w:r>
        <w:rPr>
          <w:sz w:val="28"/>
          <w:szCs w:val="28"/>
        </w:rPr>
        <w:t>……………………</w:t>
      </w:r>
      <w:r>
        <w:rPr>
          <w:rFonts w:hint="eastAsia"/>
          <w:sz w:val="28"/>
          <w:szCs w:val="28"/>
        </w:rPr>
        <w:t>.</w:t>
      </w:r>
      <w:r>
        <w:rPr>
          <w:sz w:val="28"/>
          <w:szCs w:val="28"/>
        </w:rPr>
        <w:t>……</w:t>
      </w:r>
      <w:r>
        <w:rPr>
          <w:rFonts w:hint="eastAsia"/>
          <w:sz w:val="28"/>
          <w:szCs w:val="28"/>
        </w:rPr>
        <w:t>127</w:t>
      </w:r>
    </w:p>
    <w:p>
      <w:pPr>
        <w:spacing w:before="240" w:beforeLines="100" w:line="480" w:lineRule="exact"/>
        <w:rPr>
          <w:rFonts w:hint="eastAsia"/>
          <w:sz w:val="28"/>
          <w:szCs w:val="28"/>
        </w:rPr>
      </w:pPr>
    </w:p>
    <w:p>
      <w:pPr>
        <w:spacing w:before="240" w:beforeLines="100" w:line="480" w:lineRule="exact"/>
        <w:rPr>
          <w:rFonts w:hint="eastAsia"/>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18" w:right="1588" w:bottom="1418" w:left="1588" w:header="851" w:footer="992" w:gutter="0"/>
          <w:pgNumType w:start="1"/>
          <w:cols w:space="720" w:num="1"/>
          <w:docGrid w:linePitch="312" w:charSpace="0"/>
        </w:sectPr>
      </w:pPr>
    </w:p>
    <w:p>
      <w:pPr>
        <w:spacing w:before="312" w:beforeLines="100" w:line="480" w:lineRule="exact"/>
        <w:jc w:val="center"/>
        <w:rPr>
          <w:rFonts w:hint="eastAsia" w:ascii="宋体" w:hAnsi="宋体"/>
          <w:b/>
          <w:bCs/>
          <w:kern w:val="44"/>
          <w:sz w:val="36"/>
          <w:szCs w:val="36"/>
        </w:rPr>
      </w:pPr>
      <w:r>
        <w:rPr>
          <w:rFonts w:hint="eastAsia" w:ascii="宋体" w:hAnsi="宋体"/>
          <w:b/>
          <w:bCs/>
          <w:kern w:val="44"/>
          <w:sz w:val="36"/>
          <w:szCs w:val="36"/>
        </w:rPr>
        <w:t>汕头职业技术学院总体发展规划</w:t>
      </w:r>
    </w:p>
    <w:p>
      <w:pPr>
        <w:spacing w:before="312" w:beforeLines="100" w:line="480" w:lineRule="exact"/>
        <w:jc w:val="center"/>
        <w:rPr>
          <w:rFonts w:hint="eastAsia" w:ascii="宋体" w:hAnsi="宋体"/>
          <w:sz w:val="32"/>
          <w:szCs w:val="32"/>
        </w:rPr>
      </w:pPr>
      <w:r>
        <w:rPr>
          <w:rFonts w:hint="eastAsia" w:ascii="宋体" w:hAnsi="宋体"/>
          <w:bCs/>
          <w:kern w:val="44"/>
          <w:sz w:val="36"/>
          <w:szCs w:val="36"/>
        </w:rPr>
        <w:t>（2016-2020年）</w:t>
      </w:r>
    </w:p>
    <w:p>
      <w:pPr>
        <w:spacing w:line="480" w:lineRule="exact"/>
        <w:ind w:firstLine="643" w:firstLineChars="200"/>
        <w:jc w:val="center"/>
        <w:rPr>
          <w:rFonts w:hint="eastAsia" w:ascii="仿宋_GB2312" w:hAnsi="宋体" w:eastAsia="仿宋_GB2312"/>
          <w:b/>
          <w:sz w:val="32"/>
          <w:szCs w:val="32"/>
        </w:rPr>
      </w:pP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为推动学院健康、协调、快速发展，把学院建设成为与汕头粤东中心城市定位相适应、特色鲜明、社会高度认可的高职院校，根据《国家中长期教育改革和发展规划纲要（2010—2020年）》、教育部《高等职业教育创新发展行动计划》（2015-2018年）和《现代职业教育体系建设规划（2014-2020年）》、《广东省中长期教育改革和发展规划纲要（2010-2020年）》、《广东省国民经济和社会发展第十三个五年规划纲要》、《广东省大力发展职业技术教育实施纲要（2006—2020年）》、广东省示范性高等职业院校建设标准相关要求及《汕头市国民经济和社会发展第十三个五年规划纲要》，结合学院实际情况，制定本规划。</w:t>
      </w:r>
    </w:p>
    <w:p>
      <w:pPr>
        <w:pStyle w:val="3"/>
        <w:spacing w:before="0" w:after="0" w:line="600" w:lineRule="exact"/>
        <w:ind w:firstLine="630" w:firstLineChars="196"/>
        <w:rPr>
          <w:rFonts w:hint="eastAsia" w:ascii="仿宋_GB2312" w:hAnsi="宋体" w:eastAsia="仿宋_GB2312"/>
        </w:rPr>
      </w:pPr>
      <w:r>
        <w:rPr>
          <w:rFonts w:hint="eastAsia" w:ascii="仿宋_GB2312" w:hAnsi="宋体" w:eastAsia="仿宋_GB2312"/>
        </w:rPr>
        <w:t>一、“十二五”期间学院发展情况</w:t>
      </w:r>
    </w:p>
    <w:p>
      <w:pPr>
        <w:pStyle w:val="3"/>
        <w:spacing w:before="0" w:after="0" w:line="600" w:lineRule="exact"/>
        <w:ind w:firstLine="630" w:firstLineChars="196"/>
        <w:rPr>
          <w:rFonts w:hint="eastAsia" w:ascii="仿宋_GB2312" w:hAnsi="宋体" w:eastAsia="仿宋_GB2312"/>
        </w:rPr>
      </w:pPr>
      <w:r>
        <w:rPr>
          <w:rFonts w:hint="eastAsia" w:ascii="仿宋_GB2312" w:hAnsi="宋体" w:eastAsia="仿宋_GB2312"/>
        </w:rPr>
        <w:t>（一）“十二五”期间学院取得的主要成就</w:t>
      </w:r>
    </w:p>
    <w:p>
      <w:pPr>
        <w:spacing w:line="600" w:lineRule="exact"/>
        <w:ind w:firstLine="645"/>
        <w:textAlignment w:val="baseline"/>
        <w:rPr>
          <w:rFonts w:hint="eastAsia" w:ascii="仿宋_GB2312" w:hAnsi="宋体" w:eastAsia="仿宋_GB2312"/>
          <w:sz w:val="32"/>
          <w:szCs w:val="32"/>
        </w:rPr>
      </w:pPr>
      <w:r>
        <w:rPr>
          <w:rFonts w:hint="eastAsia" w:ascii="仿宋_GB2312" w:hAnsi="宋体" w:eastAsia="仿宋_GB2312"/>
          <w:sz w:val="32"/>
          <w:szCs w:val="32"/>
        </w:rPr>
        <w:t>“十二五”期间，学</w:t>
      </w:r>
      <w:r>
        <w:rPr>
          <w:rFonts w:ascii="仿宋_GB2312" w:hAnsi="宋体" w:eastAsia="仿宋_GB2312"/>
          <w:sz w:val="32"/>
          <w:szCs w:val="32"/>
        </w:rPr>
        <w:t>院教育事业全面发展，各方面工作</w:t>
      </w:r>
      <w:r>
        <w:rPr>
          <w:rFonts w:hint="eastAsia" w:ascii="仿宋_GB2312" w:hAnsi="宋体" w:eastAsia="仿宋_GB2312"/>
          <w:sz w:val="32"/>
          <w:szCs w:val="32"/>
        </w:rPr>
        <w:t>均</w:t>
      </w:r>
      <w:r>
        <w:rPr>
          <w:rFonts w:ascii="仿宋_GB2312" w:hAnsi="宋体" w:eastAsia="仿宋_GB2312"/>
          <w:sz w:val="32"/>
          <w:szCs w:val="32"/>
        </w:rPr>
        <w:t>取得了较大的进步，整体办学实力明显提高，总体完成了“十二五”规划目标</w:t>
      </w:r>
      <w:r>
        <w:rPr>
          <w:rFonts w:hint="eastAsia" w:ascii="仿宋_GB2312" w:hAnsi="宋体" w:eastAsia="仿宋_GB2312"/>
          <w:sz w:val="32"/>
          <w:szCs w:val="32"/>
        </w:rPr>
        <w:t>。</w:t>
      </w:r>
    </w:p>
    <w:p>
      <w:pPr>
        <w:spacing w:line="600" w:lineRule="exact"/>
        <w:ind w:firstLine="645"/>
        <w:textAlignment w:val="baseline"/>
        <w:rPr>
          <w:rFonts w:hint="eastAsia" w:ascii="仿宋_GB2312" w:hAnsi="宋体" w:eastAsia="仿宋_GB2312"/>
          <w:sz w:val="32"/>
          <w:szCs w:val="32"/>
        </w:rPr>
      </w:pPr>
      <w:r>
        <w:rPr>
          <w:rFonts w:hint="eastAsia" w:ascii="仿宋_GB2312" w:hAnsi="宋体" w:eastAsia="仿宋_GB2312"/>
          <w:b/>
          <w:sz w:val="32"/>
          <w:szCs w:val="32"/>
        </w:rPr>
        <w:t>1.创新办学理念，明确发展方向。</w:t>
      </w:r>
      <w:r>
        <w:rPr>
          <w:rFonts w:hint="eastAsia" w:ascii="仿宋_GB2312" w:hAnsi="宋体" w:eastAsia="仿宋_GB2312"/>
          <w:sz w:val="32"/>
          <w:szCs w:val="32"/>
        </w:rPr>
        <w:t xml:space="preserve">“十二五”期间，学院顺应新一轮高等教育改革的发展需要，在学院新一届领导班子的带领下，及时总结了十多年来的办学经验，确立了实施文化塑校、质量立校、人才强校、特色兴校战略，坚持“育人为本、德育为先、能力为重、素质为要”的育人理念，着力增强受教育者的社会责任感、创新精神、实践能力，努力培养德智体美全面发展的高素质、高技能、高技术、职业化应用型人才的办学理念；提出了“坚持教育创新和依法治校，加强内涵建设，全面提升核心竞争力，为汕头地方经济建设与社会发展服务”的总体工作思路，明确了以“教育教学创新，提升办学质量”为重点，创新办学模式，全面提升核心竞争力，把学院建设成为立足汕头、辐射粤东、社会与企业高度认可的高职院校的发展目标。同时，提出了“坚持依法治校，规范管理，提升执行力”，“建设和谐校园，营造良好的校园文化环境”，“加强内涵建设，全面提高教学质量”及“服务地方经济建设，提升学院的社会认可度”四方面的保障措施，在此基础上编制了学院首个“创新强校工程”建设规划，完成了学院今后发展的“顶层设计”，在方针政策上为学院的发展指明了方向，凝聚了心力，确保了学院迅速由粗放发展转入提质转型的发展阶段。 </w:t>
      </w:r>
    </w:p>
    <w:p>
      <w:pPr>
        <w:spacing w:line="600" w:lineRule="exact"/>
        <w:ind w:firstLine="645"/>
        <w:textAlignment w:val="baseline"/>
        <w:rPr>
          <w:rFonts w:hint="eastAsia" w:ascii="仿宋_GB2312" w:hAnsi="宋体" w:eastAsia="仿宋_GB2312"/>
          <w:sz w:val="32"/>
          <w:szCs w:val="32"/>
        </w:rPr>
      </w:pPr>
      <w:r>
        <w:rPr>
          <w:rFonts w:hint="eastAsia" w:ascii="仿宋_GB2312" w:hAnsi="宋体" w:eastAsia="仿宋_GB2312"/>
          <w:b/>
          <w:sz w:val="32"/>
          <w:szCs w:val="32"/>
        </w:rPr>
        <w:t>2</w:t>
      </w:r>
      <w:r>
        <w:rPr>
          <w:rFonts w:ascii="仿宋_GB2312" w:hAnsi="宋体" w:eastAsia="仿宋_GB2312"/>
          <w:b/>
          <w:sz w:val="32"/>
          <w:szCs w:val="32"/>
        </w:rPr>
        <w:t>.</w:t>
      </w:r>
      <w:r>
        <w:rPr>
          <w:rFonts w:hint="eastAsia" w:ascii="仿宋_GB2312" w:hAnsi="宋体" w:eastAsia="仿宋_GB2312"/>
          <w:b/>
          <w:sz w:val="32"/>
          <w:szCs w:val="32"/>
        </w:rPr>
        <w:t>依法治校，规范管理工作成绩显著。</w:t>
      </w:r>
      <w:r>
        <w:rPr>
          <w:rFonts w:hint="eastAsia" w:ascii="仿宋_GB2312" w:hAnsi="宋体" w:eastAsia="仿宋_GB2312"/>
          <w:sz w:val="32"/>
          <w:szCs w:val="32"/>
        </w:rPr>
        <w:t>“十二五”期间，学院</w:t>
      </w:r>
      <w:r>
        <w:rPr>
          <w:rFonts w:ascii="仿宋_GB2312" w:hAnsi="宋体" w:eastAsia="仿宋_GB2312"/>
          <w:sz w:val="32"/>
          <w:szCs w:val="32"/>
        </w:rPr>
        <w:t>坚持和完善党委领导下的院长负责制，积极探索“党委领导、校长负责、教授治学、民主管理”的有效路径;坚持依法治校，完善</w:t>
      </w:r>
      <w:r>
        <w:rPr>
          <w:rFonts w:hint="eastAsia" w:ascii="仿宋_GB2312" w:hAnsi="宋体" w:eastAsia="仿宋_GB2312"/>
          <w:sz w:val="32"/>
          <w:szCs w:val="32"/>
        </w:rPr>
        <w:t>、出台了学院</w:t>
      </w:r>
      <w:r>
        <w:rPr>
          <w:rFonts w:ascii="仿宋_GB2312" w:hAnsi="宋体" w:eastAsia="仿宋_GB2312"/>
          <w:sz w:val="32"/>
          <w:szCs w:val="32"/>
        </w:rPr>
        <w:t>章程，</w:t>
      </w:r>
      <w:r>
        <w:rPr>
          <w:rFonts w:hint="eastAsia" w:ascii="仿宋_GB2312" w:hAnsi="宋体" w:eastAsia="仿宋_GB2312"/>
          <w:sz w:val="32"/>
          <w:szCs w:val="32"/>
        </w:rPr>
        <w:t>并提出了引入ISO9001国际质量标准管理体系和专业质量认证体系，构建学院现代大学制度，建立全新的运行机制，打造学院管理特色的治校思想，并从强化管理、健全制度、规范人财物管理，打造“一校两区”的目标入手，大刀阔斧地进行改革，按照管理线条和块下放管理权限，积极推进依法治校，规范管理工作，保证学院健康持续的发展。</w:t>
      </w:r>
    </w:p>
    <w:p>
      <w:pPr>
        <w:spacing w:line="600" w:lineRule="exact"/>
        <w:ind w:firstLine="645"/>
        <w:textAlignment w:val="baseline"/>
        <w:rPr>
          <w:rFonts w:hint="eastAsia" w:ascii="仿宋_GB2312" w:hAnsi="宋体" w:eastAsia="仿宋_GB2312"/>
          <w:sz w:val="32"/>
          <w:szCs w:val="32"/>
        </w:rPr>
      </w:pPr>
      <w:r>
        <w:rPr>
          <w:rFonts w:hint="eastAsia" w:ascii="仿宋_GB2312" w:hAnsi="宋体" w:eastAsia="仿宋_GB2312"/>
          <w:b/>
          <w:sz w:val="32"/>
          <w:szCs w:val="32"/>
        </w:rPr>
        <w:t>3</w:t>
      </w:r>
      <w:r>
        <w:rPr>
          <w:rFonts w:ascii="仿宋_GB2312" w:hAnsi="宋体" w:eastAsia="仿宋_GB2312"/>
          <w:b/>
          <w:sz w:val="32"/>
          <w:szCs w:val="32"/>
        </w:rPr>
        <w:t>.人才培养质量再上新台阶。</w:t>
      </w:r>
      <w:r>
        <w:rPr>
          <w:rFonts w:hint="eastAsia" w:ascii="仿宋_GB2312" w:hAnsi="宋体" w:eastAsia="仿宋_GB2312"/>
          <w:sz w:val="32"/>
          <w:szCs w:val="32"/>
        </w:rPr>
        <w:t>学院积极推进</w:t>
      </w:r>
      <w:r>
        <w:rPr>
          <w:rFonts w:ascii="仿宋_GB2312" w:hAnsi="宋体" w:eastAsia="仿宋_GB2312"/>
          <w:sz w:val="32"/>
          <w:szCs w:val="32"/>
        </w:rPr>
        <w:t>人才培养模式</w:t>
      </w:r>
      <w:r>
        <w:rPr>
          <w:rFonts w:hint="eastAsia" w:ascii="仿宋_GB2312" w:hAnsi="宋体" w:eastAsia="仿宋_GB2312"/>
          <w:sz w:val="32"/>
          <w:szCs w:val="32"/>
        </w:rPr>
        <w:t>改革，</w:t>
      </w:r>
      <w:r>
        <w:rPr>
          <w:rFonts w:ascii="仿宋_GB2312" w:hAnsi="宋体" w:eastAsia="仿宋_GB2312"/>
          <w:sz w:val="32"/>
          <w:szCs w:val="32"/>
        </w:rPr>
        <w:t>走可持续发展之路，人才培养质量不断提高</w:t>
      </w:r>
      <w:r>
        <w:rPr>
          <w:rFonts w:hint="eastAsia" w:ascii="仿宋_GB2312" w:hAnsi="宋体" w:eastAsia="仿宋_GB2312"/>
          <w:sz w:val="32"/>
          <w:szCs w:val="32"/>
        </w:rPr>
        <w:t>。“十二五”期间，学院全部专业转招3A类考生，毕业生就业率均达到97%以上。先后获得市级以上奖项150多个，其中，获得广东省科学技术二等奖一项，2014年学院学生获广东省首届高等院校英语专业师范生教学技能大赛总决赛特等奖和一等奖；获2015年度广东大学生科技创新培育专项资金4万元等。</w:t>
      </w:r>
    </w:p>
    <w:p>
      <w:pPr>
        <w:spacing w:line="600" w:lineRule="exact"/>
        <w:ind w:firstLine="645"/>
        <w:textAlignment w:val="baseline"/>
        <w:rPr>
          <w:rFonts w:hint="eastAsia" w:ascii="仿宋_GB2312" w:hAnsi="宋体" w:eastAsia="仿宋_GB2312"/>
          <w:sz w:val="32"/>
          <w:szCs w:val="32"/>
        </w:rPr>
      </w:pPr>
      <w:r>
        <w:rPr>
          <w:rFonts w:hint="eastAsia" w:ascii="仿宋_GB2312" w:hAnsi="宋体" w:eastAsia="仿宋_GB2312"/>
          <w:b/>
          <w:sz w:val="32"/>
          <w:szCs w:val="32"/>
        </w:rPr>
        <w:t>4</w:t>
      </w:r>
      <w:r>
        <w:rPr>
          <w:rFonts w:ascii="仿宋_GB2312" w:hAnsi="宋体" w:eastAsia="仿宋_GB2312"/>
          <w:b/>
          <w:sz w:val="32"/>
          <w:szCs w:val="32"/>
        </w:rPr>
        <w:t>.</w:t>
      </w:r>
      <w:r>
        <w:rPr>
          <w:rFonts w:hint="eastAsia" w:ascii="仿宋_GB2312" w:hAnsi="宋体" w:eastAsia="仿宋_GB2312"/>
          <w:b/>
          <w:sz w:val="32"/>
          <w:szCs w:val="32"/>
        </w:rPr>
        <w:t>科研</w:t>
      </w:r>
      <w:r>
        <w:rPr>
          <w:rFonts w:ascii="仿宋_GB2312" w:hAnsi="宋体" w:eastAsia="仿宋_GB2312"/>
          <w:b/>
          <w:sz w:val="32"/>
          <w:szCs w:val="32"/>
        </w:rPr>
        <w:t>创新实现新突破。</w:t>
      </w:r>
      <w:r>
        <w:rPr>
          <w:rFonts w:hint="eastAsia" w:ascii="仿宋_GB2312" w:hAnsi="宋体" w:eastAsia="仿宋_GB2312"/>
          <w:sz w:val="32"/>
          <w:szCs w:val="32"/>
        </w:rPr>
        <w:t>“十二五”期间，学院狠抓教研科研，通过不懈努力，学院教学科研管理制度体系基本完善，教学科研管理工作走上了制度化、规范化道路，有力地支持了科研工作的可持续发展。同时，学院还注重搭建专门的教学科研机构和学术成果交流平台，依托两份刊物（《南方职业教育学刊》及《潮汕史学》），在“高职教育研究所”、“潮汕历史文化研究所”基础上，成立“华侨经济文化研究所”和“数字化技术研究与应用中心”两所新的研究机构，对接适应服务汕头社会经济发展的新要求，积极提升学院的教学科研水平。目前学院学术研究氛围日益浓厚，科研成果喜人。仅2015年学院共获立项课题57项，其中各级纵向课题共立项30项，获得外来资助经费100.75万元，是2014年度的4.6倍；院级课题立项26项。同时，积极与汕头市科技局加强合作，为实现学院服务地方经济文化建设打造了新的平台。</w:t>
      </w:r>
    </w:p>
    <w:p>
      <w:pPr>
        <w:spacing w:line="600" w:lineRule="exact"/>
        <w:ind w:firstLine="645"/>
        <w:textAlignment w:val="baseline"/>
        <w:rPr>
          <w:rFonts w:hint="eastAsia" w:ascii="仿宋_GB2312" w:hAnsi="宋体" w:eastAsia="仿宋_GB2312"/>
          <w:sz w:val="32"/>
          <w:szCs w:val="32"/>
        </w:rPr>
      </w:pPr>
      <w:r>
        <w:rPr>
          <w:rFonts w:hint="eastAsia" w:ascii="仿宋_GB2312" w:hAnsi="宋体" w:eastAsia="仿宋_GB2312"/>
          <w:b/>
          <w:sz w:val="32"/>
          <w:szCs w:val="32"/>
        </w:rPr>
        <w:t>5</w:t>
      </w:r>
      <w:r>
        <w:rPr>
          <w:rFonts w:ascii="仿宋_GB2312" w:hAnsi="宋体" w:eastAsia="仿宋_GB2312"/>
          <w:b/>
          <w:sz w:val="32"/>
          <w:szCs w:val="32"/>
        </w:rPr>
        <w:t>.专业建设开创新局面。</w:t>
      </w:r>
      <w:r>
        <w:rPr>
          <w:rFonts w:ascii="仿宋_GB2312" w:hAnsi="宋体" w:eastAsia="仿宋_GB2312"/>
          <w:sz w:val="32"/>
          <w:szCs w:val="32"/>
        </w:rPr>
        <w:t>学院依据专业建设发展规划，</w:t>
      </w:r>
      <w:r>
        <w:rPr>
          <w:rFonts w:hint="eastAsia" w:ascii="仿宋_GB2312" w:hAnsi="宋体" w:eastAsia="仿宋_GB2312"/>
          <w:sz w:val="32"/>
          <w:szCs w:val="32"/>
        </w:rPr>
        <w:t>立足汕头市</w:t>
      </w:r>
      <w:r>
        <w:rPr>
          <w:rFonts w:ascii="仿宋_GB2312" w:hAnsi="宋体" w:eastAsia="仿宋_GB2312"/>
          <w:sz w:val="32"/>
          <w:szCs w:val="32"/>
        </w:rPr>
        <w:t>产业发展重点</w:t>
      </w:r>
      <w:r>
        <w:rPr>
          <w:rFonts w:hint="eastAsia" w:ascii="仿宋_GB2312" w:hAnsi="宋体" w:eastAsia="仿宋_GB2312"/>
          <w:sz w:val="32"/>
          <w:szCs w:val="32"/>
        </w:rPr>
        <w:t>、汕头华侨经济文化合作试验区建设及21世纪海上丝绸之路国家战略布局，</w:t>
      </w:r>
      <w:r>
        <w:rPr>
          <w:rFonts w:ascii="仿宋_GB2312" w:hAnsi="宋体" w:eastAsia="仿宋_GB2312"/>
          <w:sz w:val="32"/>
          <w:szCs w:val="32"/>
        </w:rPr>
        <w:t>不断优化专业结构，调整专业方向。</w:t>
      </w:r>
      <w:r>
        <w:rPr>
          <w:rFonts w:hint="eastAsia" w:ascii="仿宋_GB2312" w:hAnsi="宋体" w:eastAsia="仿宋_GB2312"/>
          <w:sz w:val="32"/>
          <w:szCs w:val="32"/>
        </w:rPr>
        <w:t>一是新增设了《社区管理与服务》及《移动互联网应用技术》等多个专业</w:t>
      </w:r>
      <w:r>
        <w:rPr>
          <w:rFonts w:ascii="仿宋_GB2312" w:hAnsi="宋体" w:eastAsia="仿宋_GB2312"/>
          <w:sz w:val="32"/>
          <w:szCs w:val="32"/>
        </w:rPr>
        <w:t>，全院专业数达到</w:t>
      </w:r>
      <w:r>
        <w:rPr>
          <w:rFonts w:hint="eastAsia" w:ascii="仿宋_GB2312" w:hAnsi="宋体" w:eastAsia="仿宋_GB2312"/>
          <w:sz w:val="32"/>
          <w:szCs w:val="32"/>
        </w:rPr>
        <w:t>57</w:t>
      </w:r>
      <w:r>
        <w:rPr>
          <w:rFonts w:ascii="仿宋_GB2312" w:hAnsi="宋体" w:eastAsia="仿宋_GB2312"/>
          <w:sz w:val="32"/>
          <w:szCs w:val="32"/>
        </w:rPr>
        <w:t>个，新建</w:t>
      </w:r>
      <w:r>
        <w:rPr>
          <w:rFonts w:hint="eastAsia" w:ascii="仿宋_GB2312" w:hAnsi="宋体" w:eastAsia="仿宋_GB2312"/>
          <w:sz w:val="32"/>
          <w:szCs w:val="32"/>
        </w:rPr>
        <w:t>省级</w:t>
      </w:r>
      <w:r>
        <w:rPr>
          <w:rFonts w:ascii="仿宋_GB2312" w:hAnsi="宋体" w:eastAsia="仿宋_GB2312"/>
          <w:sz w:val="32"/>
          <w:szCs w:val="32"/>
        </w:rPr>
        <w:t>实训基地1个;</w:t>
      </w:r>
      <w:r>
        <w:rPr>
          <w:rFonts w:hint="eastAsia" w:ascii="仿宋_GB2312" w:hAnsi="宋体" w:eastAsia="仿宋_GB2312"/>
          <w:sz w:val="32"/>
          <w:szCs w:val="32"/>
        </w:rPr>
        <w:t>积极推进大学英语分层教学模式改革，优化课程结构，推动教学规范的建立，探索试行学分制；以生物教育、美术教育等中央财政支持和机电一体化等省重点培育专业建设为推手，带动学院专业与课程建设；开展院级示范性专业和校级精品课程建设项目，大力开发应用类课程资源，推进课程网建设，努力打造学院特色品牌。</w:t>
      </w:r>
    </w:p>
    <w:p>
      <w:pPr>
        <w:spacing w:line="600" w:lineRule="exact"/>
        <w:ind w:firstLine="630" w:firstLineChars="196"/>
        <w:textAlignment w:val="baseline"/>
        <w:rPr>
          <w:rFonts w:hint="eastAsia" w:ascii="仿宋_GB2312" w:hAnsi="宋体" w:eastAsia="仿宋_GB2312"/>
          <w:sz w:val="32"/>
          <w:szCs w:val="32"/>
        </w:rPr>
      </w:pPr>
      <w:r>
        <w:rPr>
          <w:rFonts w:hint="eastAsia" w:ascii="仿宋_GB2312" w:hAnsi="宋体" w:eastAsia="仿宋_GB2312"/>
          <w:b/>
          <w:sz w:val="32"/>
          <w:szCs w:val="32"/>
        </w:rPr>
        <w:t>6</w:t>
      </w:r>
      <w:r>
        <w:rPr>
          <w:rFonts w:ascii="仿宋_GB2312" w:hAnsi="宋体" w:eastAsia="仿宋_GB2312"/>
          <w:b/>
          <w:sz w:val="32"/>
          <w:szCs w:val="32"/>
        </w:rPr>
        <w:t>.</w:t>
      </w:r>
      <w:r>
        <w:rPr>
          <w:rFonts w:hint="eastAsia" w:ascii="仿宋_GB2312" w:hAnsi="宋体" w:eastAsia="仿宋_GB2312"/>
          <w:b/>
          <w:sz w:val="32"/>
          <w:szCs w:val="32"/>
        </w:rPr>
        <w:t>校企合作硕果累累。</w:t>
      </w:r>
      <w:r>
        <w:rPr>
          <w:rFonts w:hint="eastAsia" w:ascii="仿宋_GB2312" w:hAnsi="宋体" w:eastAsia="仿宋_GB2312"/>
          <w:sz w:val="32"/>
          <w:szCs w:val="32"/>
        </w:rPr>
        <w:t>学院顺应省市产业结构的调整与发展趋势，立足高职教育的特点，</w:t>
      </w:r>
      <w:r>
        <w:rPr>
          <w:rFonts w:ascii="仿宋_GB2312" w:hAnsi="宋体" w:eastAsia="仿宋_GB2312"/>
          <w:sz w:val="32"/>
          <w:szCs w:val="32"/>
        </w:rPr>
        <w:t>以</w:t>
      </w:r>
      <w:r>
        <w:rPr>
          <w:rFonts w:hint="eastAsia" w:ascii="仿宋_GB2312" w:hAnsi="宋体" w:eastAsia="仿宋_GB2312"/>
          <w:sz w:val="32"/>
          <w:szCs w:val="32"/>
        </w:rPr>
        <w:t>“校企合作”、</w:t>
      </w:r>
      <w:r>
        <w:rPr>
          <w:rFonts w:ascii="仿宋_GB2312" w:hAnsi="宋体" w:eastAsia="仿宋_GB2312"/>
          <w:sz w:val="32"/>
          <w:szCs w:val="32"/>
        </w:rPr>
        <w:t>“工学结合”</w:t>
      </w:r>
      <w:r>
        <w:rPr>
          <w:rFonts w:hint="eastAsia" w:ascii="仿宋_GB2312" w:hAnsi="宋体" w:eastAsia="仿宋_GB2312"/>
          <w:sz w:val="32"/>
          <w:szCs w:val="32"/>
        </w:rPr>
        <w:t>为突破口</w:t>
      </w:r>
      <w:r>
        <w:rPr>
          <w:rFonts w:ascii="仿宋_GB2312" w:hAnsi="宋体" w:eastAsia="仿宋_GB2312"/>
          <w:sz w:val="32"/>
          <w:szCs w:val="32"/>
        </w:rPr>
        <w:t>，</w:t>
      </w:r>
      <w:r>
        <w:rPr>
          <w:rFonts w:hint="eastAsia" w:ascii="仿宋_GB2312" w:hAnsi="宋体" w:eastAsia="仿宋_GB2312"/>
          <w:sz w:val="32"/>
          <w:szCs w:val="32"/>
        </w:rPr>
        <w:t>积极拓宽校企合作领域，探索产教融合、校企合作的新模式，</w:t>
      </w:r>
      <w:r>
        <w:rPr>
          <w:rFonts w:ascii="仿宋_GB2312" w:hAnsi="宋体" w:eastAsia="仿宋_GB2312"/>
          <w:sz w:val="32"/>
          <w:szCs w:val="32"/>
        </w:rPr>
        <w:t>丰富校企合作</w:t>
      </w:r>
      <w:r>
        <w:rPr>
          <w:rFonts w:hint="eastAsia" w:ascii="仿宋_GB2312" w:hAnsi="宋体" w:eastAsia="仿宋_GB2312"/>
          <w:sz w:val="32"/>
          <w:szCs w:val="32"/>
        </w:rPr>
        <w:t>的</w:t>
      </w:r>
      <w:r>
        <w:rPr>
          <w:rFonts w:ascii="仿宋_GB2312" w:hAnsi="宋体" w:eastAsia="仿宋_GB2312"/>
          <w:sz w:val="32"/>
          <w:szCs w:val="32"/>
        </w:rPr>
        <w:t>内涵</w:t>
      </w:r>
      <w:r>
        <w:rPr>
          <w:rFonts w:hint="eastAsia" w:ascii="仿宋_GB2312" w:hAnsi="宋体" w:eastAsia="仿宋_GB2312"/>
          <w:sz w:val="32"/>
          <w:szCs w:val="32"/>
        </w:rPr>
        <w:t>，建立了学校、企业、学生“三赢”的合作模式，已先后与汕头超声研究所有限公司、广东领域集团有限公司等60多家企事业单位进行合作，开展“订单式”人才培养，与企业实现教学互动，</w:t>
      </w:r>
      <w:r>
        <w:rPr>
          <w:rFonts w:ascii="仿宋_GB2312" w:hAnsi="宋体" w:eastAsia="仿宋_GB2312"/>
          <w:sz w:val="32"/>
          <w:szCs w:val="32"/>
        </w:rPr>
        <w:t>为学院提高技术技能人才的培养质量提供了支撑</w:t>
      </w:r>
      <w:r>
        <w:rPr>
          <w:rFonts w:hint="eastAsia" w:ascii="仿宋_GB2312" w:hAnsi="宋体" w:eastAsia="仿宋_GB2312"/>
          <w:sz w:val="32"/>
          <w:szCs w:val="32"/>
        </w:rPr>
        <w:t>。</w:t>
      </w:r>
    </w:p>
    <w:p>
      <w:pPr>
        <w:spacing w:line="600" w:lineRule="exact"/>
        <w:ind w:firstLine="630" w:firstLineChars="196"/>
        <w:rPr>
          <w:rFonts w:hint="eastAsia" w:ascii="仿宋_GB2312" w:hAnsi="宋体" w:eastAsia="仿宋_GB2312"/>
          <w:sz w:val="32"/>
          <w:szCs w:val="32"/>
        </w:rPr>
      </w:pPr>
      <w:r>
        <w:rPr>
          <w:rFonts w:hint="eastAsia" w:ascii="仿宋_GB2312" w:hAnsi="宋体" w:eastAsia="仿宋_GB2312"/>
          <w:b/>
          <w:sz w:val="32"/>
          <w:szCs w:val="32"/>
        </w:rPr>
        <w:t>7</w:t>
      </w:r>
      <w:r>
        <w:rPr>
          <w:rFonts w:ascii="仿宋_GB2312" w:hAnsi="宋体" w:eastAsia="仿宋_GB2312"/>
          <w:b/>
          <w:sz w:val="32"/>
          <w:szCs w:val="32"/>
        </w:rPr>
        <w:t>.师资队伍建设迈出新步伐。</w:t>
      </w:r>
      <w:r>
        <w:rPr>
          <w:rFonts w:ascii="仿宋_GB2312" w:hAnsi="宋体" w:eastAsia="仿宋_GB2312"/>
          <w:sz w:val="32"/>
          <w:szCs w:val="32"/>
        </w:rPr>
        <w:t>学院坚持培养与引进相结合，形成了一支结构合理、素质过硬、专兼结合的双师素质教师队伍</w:t>
      </w:r>
      <w:r>
        <w:rPr>
          <w:rFonts w:hint="eastAsia" w:ascii="仿宋_GB2312" w:hAnsi="宋体" w:eastAsia="仿宋_GB2312"/>
          <w:sz w:val="32"/>
          <w:szCs w:val="32"/>
        </w:rPr>
        <w:t>，</w:t>
      </w:r>
      <w:r>
        <w:rPr>
          <w:rFonts w:hint="eastAsia" w:ascii="仿宋_GB2312" w:eastAsia="仿宋_GB2312"/>
          <w:sz w:val="32"/>
          <w:szCs w:val="32"/>
        </w:rPr>
        <w:t>师资队伍的学历和学位层次得到较大幅度的提升；“双师型”教师队伍建设机制初步建立，兼职教师队伍管理不断规范化，专业带头人、优秀骨干教师和中青年教师培养机制逐步完善，</w:t>
      </w:r>
      <w:r>
        <w:rPr>
          <w:rFonts w:hint="eastAsia" w:ascii="仿宋_GB2312" w:hAnsi="宋体" w:eastAsia="仿宋_GB2312"/>
          <w:sz w:val="32"/>
          <w:szCs w:val="32"/>
        </w:rPr>
        <w:t>教师师德师风评价体系基本完善。截止2015年底，学院有专任教师489人，其中正高4人，副高127人，副高以上占专任教师的26.8%。讲师285人，占专任教师58.3%。硕士以上201人（其中，博士5人，博士后1人），占专任教师的41.1%；“双师型”教师队伍建设机制初步建立，兼职教师队伍管理不断规范化，截止2015年底，学院有双师素质教师163人，占专业课教师的比例39.3%。</w:t>
      </w:r>
    </w:p>
    <w:p>
      <w:pPr>
        <w:spacing w:line="600" w:lineRule="exact"/>
        <w:ind w:firstLine="643" w:firstLineChars="200"/>
        <w:textAlignment w:val="baseline"/>
        <w:rPr>
          <w:rFonts w:hint="eastAsia" w:ascii="仿宋_GB2312" w:hAnsi="宋体" w:eastAsia="仿宋_GB2312"/>
          <w:sz w:val="32"/>
          <w:szCs w:val="32"/>
        </w:rPr>
      </w:pPr>
      <w:r>
        <w:rPr>
          <w:rFonts w:hint="eastAsia" w:ascii="仿宋_GB2312" w:hAnsi="宋体" w:eastAsia="仿宋_GB2312"/>
          <w:b/>
          <w:sz w:val="32"/>
          <w:szCs w:val="32"/>
        </w:rPr>
        <w:t>8</w:t>
      </w:r>
      <w:r>
        <w:rPr>
          <w:rFonts w:ascii="仿宋_GB2312" w:hAnsi="宋体" w:eastAsia="仿宋_GB2312"/>
          <w:b/>
          <w:sz w:val="32"/>
          <w:szCs w:val="32"/>
        </w:rPr>
        <w:t>.文化建设迈上新台阶。</w:t>
      </w:r>
      <w:r>
        <w:rPr>
          <w:rFonts w:ascii="仿宋_GB2312" w:hAnsi="宋体" w:eastAsia="仿宋_GB2312"/>
          <w:sz w:val="32"/>
          <w:szCs w:val="32"/>
        </w:rPr>
        <w:t>“十二五”</w:t>
      </w:r>
      <w:r>
        <w:rPr>
          <w:rFonts w:hint="eastAsia" w:ascii="仿宋_GB2312" w:hAnsi="宋体" w:eastAsia="仿宋_GB2312"/>
          <w:sz w:val="32"/>
          <w:szCs w:val="32"/>
        </w:rPr>
        <w:t>期间，学院多管齐下，积极推进校园文化建设：一是坚持民主办学理念，进一步完善民主决策制度和校务公开制度，扩大教职工参与学院重大事项的决策权和知情权。二是创造和谐的工作环境，关心教职工的工作和生活，为广大教职工创造个人发展的空间，维护教职工正当合法权益。三是启动“成为一名好老师”师德建设工作，加强师德师风建设，培养师生的道德、诚信和职业素养。四是深入推进大学生的理想信念教育、爱国主义教育、公民道德教育和素质教育；五是加强校园安全综合治理，全面提升校园安全防范水平，保证了校园的和谐稳定。</w:t>
      </w:r>
    </w:p>
    <w:p>
      <w:pPr>
        <w:spacing w:line="600" w:lineRule="exact"/>
        <w:ind w:firstLine="645"/>
        <w:textAlignment w:val="baseline"/>
        <w:rPr>
          <w:rFonts w:hint="eastAsia" w:ascii="仿宋_GB2312" w:hAnsi="宋体" w:eastAsia="仿宋_GB2312"/>
          <w:sz w:val="32"/>
          <w:szCs w:val="32"/>
        </w:rPr>
      </w:pPr>
      <w:r>
        <w:rPr>
          <w:rFonts w:hint="eastAsia" w:ascii="仿宋_GB2312" w:hAnsi="宋体" w:eastAsia="仿宋_GB2312"/>
          <w:b/>
          <w:sz w:val="32"/>
          <w:szCs w:val="32"/>
        </w:rPr>
        <w:t>9</w:t>
      </w:r>
      <w:r>
        <w:rPr>
          <w:rFonts w:ascii="仿宋_GB2312" w:hAnsi="宋体" w:eastAsia="仿宋_GB2312"/>
          <w:b/>
          <w:sz w:val="32"/>
          <w:szCs w:val="32"/>
        </w:rPr>
        <w:t>.党建工作谱写新篇章。</w:t>
      </w:r>
      <w:r>
        <w:rPr>
          <w:rFonts w:ascii="仿宋_GB2312" w:hAnsi="宋体" w:eastAsia="仿宋_GB2312"/>
          <w:sz w:val="32"/>
          <w:szCs w:val="32"/>
        </w:rPr>
        <w:t>“十二五”期间，学院以邓小平理论、“三个代表”重要思想、科学发展观以及“四个全面”要求为指导，围绕学院的工作重点和奋斗目标不断加强党的建设，坚持民主集中制原则，进一步完善党委领导下的院长负责制，以领导班子建设为重点，以党的基层组织建设为基础，以“创先争优”、“群众路线”教育实践活动为契机，践行“三严三实”新要求，着力提高党员干部的党性修养，着力增强党组织的凝聚力、创造力和战斗力，不断提高学院党建工作科学化水平，提高干部执行能力，促进了学院的科学发展</w:t>
      </w:r>
      <w:r>
        <w:rPr>
          <w:rFonts w:hint="eastAsia" w:ascii="仿宋_GB2312" w:hAnsi="宋体" w:eastAsia="仿宋_GB2312"/>
          <w:sz w:val="32"/>
          <w:szCs w:val="32"/>
        </w:rPr>
        <w:t>。</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（二）</w:t>
      </w:r>
      <w:r>
        <w:rPr>
          <w:rFonts w:ascii="仿宋_GB2312" w:hAnsi="宋体" w:eastAsia="仿宋_GB2312"/>
          <w:b/>
          <w:sz w:val="32"/>
          <w:szCs w:val="32"/>
        </w:rPr>
        <w:t>“十二五”期间存在一些亟待解决的问题</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学院在“十二五”期间快速发展，办学规模不断扩大，办学条件得到明显改善，师资队伍结构不断优化，专业建设和课程体系改革逐步启动，人才培养工作水平不断提高，办学成效显著。但是，仍然存在诸如内涵建设不足等一些影响学院进一步发展的问题。</w:t>
      </w:r>
    </w:p>
    <w:p>
      <w:pPr>
        <w:spacing w:line="600" w:lineRule="exact"/>
        <w:ind w:firstLine="643" w:firstLineChars="200"/>
        <w:rPr>
          <w:rFonts w:ascii="仿宋_GB2312" w:hAnsi="宋体" w:eastAsia="仿宋_GB2312"/>
          <w:sz w:val="32"/>
          <w:szCs w:val="32"/>
        </w:rPr>
      </w:pPr>
      <w:r>
        <w:rPr>
          <w:rFonts w:ascii="仿宋_GB2312" w:hAnsi="宋体" w:eastAsia="仿宋_GB2312"/>
          <w:b/>
          <w:sz w:val="32"/>
          <w:szCs w:val="32"/>
        </w:rPr>
        <w:t>1.解放思想、更新观念不够。</w:t>
      </w:r>
      <w:r>
        <w:rPr>
          <w:rFonts w:ascii="仿宋_GB2312" w:hAnsi="宋体" w:eastAsia="仿宋_GB2312"/>
          <w:sz w:val="32"/>
          <w:szCs w:val="32"/>
        </w:rPr>
        <w:t>干部和教职员工的教育观念和管理理念仍然跟不上形势的发展和</w:t>
      </w:r>
      <w:r>
        <w:rPr>
          <w:rFonts w:hint="eastAsia" w:ascii="仿宋_GB2312" w:hAnsi="宋体" w:eastAsia="仿宋_GB2312"/>
          <w:sz w:val="32"/>
          <w:szCs w:val="32"/>
        </w:rPr>
        <w:t>学院</w:t>
      </w:r>
      <w:r>
        <w:rPr>
          <w:rFonts w:ascii="仿宋_GB2312" w:hAnsi="宋体" w:eastAsia="仿宋_GB2312"/>
          <w:sz w:val="32"/>
          <w:szCs w:val="32"/>
        </w:rPr>
        <w:t>工作的需要</w:t>
      </w:r>
      <w:r>
        <w:rPr>
          <w:rFonts w:hint="eastAsia" w:ascii="仿宋_GB2312" w:hAnsi="宋体" w:eastAsia="仿宋_GB2312"/>
          <w:sz w:val="32"/>
          <w:szCs w:val="32"/>
        </w:rPr>
        <w:t>；依法治校、规范管理工作有待进一步加强。</w:t>
      </w:r>
      <w:r>
        <w:rPr>
          <w:rFonts w:ascii="仿宋_GB2312" w:hAnsi="宋体" w:eastAsia="仿宋_GB2312"/>
          <w:sz w:val="32"/>
          <w:szCs w:val="32"/>
        </w:rPr>
        <w:t xml:space="preserve"> </w:t>
      </w:r>
    </w:p>
    <w:p>
      <w:pPr>
        <w:spacing w:line="600" w:lineRule="exact"/>
        <w:ind w:firstLine="643" w:firstLineChars="200"/>
        <w:rPr>
          <w:rFonts w:hint="eastAsia" w:ascii="仿宋_GB2312" w:hAnsi="宋体" w:eastAsia="仿宋_GB2312"/>
          <w:sz w:val="32"/>
          <w:szCs w:val="32"/>
        </w:rPr>
      </w:pPr>
      <w:r>
        <w:rPr>
          <w:rFonts w:ascii="仿宋_GB2312" w:hAnsi="宋体" w:eastAsia="仿宋_GB2312"/>
          <w:b/>
          <w:sz w:val="32"/>
          <w:szCs w:val="32"/>
        </w:rPr>
        <w:t>2.师资队伍</w:t>
      </w:r>
      <w:r>
        <w:rPr>
          <w:rFonts w:hint="eastAsia" w:ascii="仿宋_GB2312" w:hAnsi="宋体" w:eastAsia="仿宋_GB2312"/>
          <w:b/>
          <w:sz w:val="32"/>
          <w:szCs w:val="32"/>
        </w:rPr>
        <w:t>及干部队伍</w:t>
      </w:r>
      <w:r>
        <w:rPr>
          <w:rFonts w:ascii="仿宋_GB2312" w:hAnsi="宋体" w:eastAsia="仿宋_GB2312"/>
          <w:b/>
          <w:sz w:val="32"/>
          <w:szCs w:val="32"/>
        </w:rPr>
        <w:t>建设仍然是制约学</w:t>
      </w:r>
      <w:r>
        <w:rPr>
          <w:rFonts w:hint="eastAsia" w:ascii="仿宋_GB2312" w:hAnsi="宋体" w:eastAsia="仿宋_GB2312"/>
          <w:b/>
          <w:sz w:val="32"/>
          <w:szCs w:val="32"/>
        </w:rPr>
        <w:t>院</w:t>
      </w:r>
      <w:r>
        <w:rPr>
          <w:rFonts w:ascii="仿宋_GB2312" w:hAnsi="宋体" w:eastAsia="仿宋_GB2312"/>
          <w:b/>
          <w:sz w:val="32"/>
          <w:szCs w:val="32"/>
        </w:rPr>
        <w:t>发展的关键。</w:t>
      </w:r>
      <w:r>
        <w:rPr>
          <w:rFonts w:ascii="仿宋_GB2312" w:hAnsi="宋体" w:eastAsia="仿宋_GB2312"/>
          <w:sz w:val="32"/>
          <w:szCs w:val="32"/>
        </w:rPr>
        <w:t>专业带头人、骨干教师培养不够系统，“双师”和兼职教师队伍建设存在较大差距，教</w:t>
      </w:r>
      <w:r>
        <w:rPr>
          <w:rFonts w:hint="eastAsia" w:ascii="仿宋_GB2312" w:hAnsi="宋体" w:eastAsia="仿宋_GB2312"/>
          <w:sz w:val="32"/>
          <w:szCs w:val="32"/>
        </w:rPr>
        <w:t>学</w:t>
      </w:r>
      <w:r>
        <w:rPr>
          <w:rFonts w:ascii="仿宋_GB2312" w:hAnsi="宋体" w:eastAsia="仿宋_GB2312"/>
          <w:sz w:val="32"/>
          <w:szCs w:val="32"/>
        </w:rPr>
        <w:t>科研领军人才及高水平创新团队还偏少，师资的质量、结构等方面都不同程度地存在问题。</w:t>
      </w:r>
      <w:r>
        <w:rPr>
          <w:rFonts w:hint="eastAsia" w:ascii="仿宋_GB2312" w:hAnsi="宋体" w:eastAsia="仿宋_GB2312"/>
          <w:sz w:val="32"/>
          <w:szCs w:val="32"/>
        </w:rPr>
        <w:t>干部队伍建设与学院发展需要不相适应，行政后勤人员的服务态度有待改善，管理工作效率有待提高，执行力有待提升。</w:t>
      </w:r>
    </w:p>
    <w:p>
      <w:pPr>
        <w:spacing w:line="600" w:lineRule="exact"/>
        <w:ind w:firstLine="643" w:firstLineChars="200"/>
        <w:rPr>
          <w:rFonts w:hint="eastAsia" w:ascii="仿宋_GB2312" w:hAnsi="宋体" w:eastAsia="仿宋_GB2312"/>
          <w:sz w:val="32"/>
          <w:szCs w:val="32"/>
        </w:rPr>
      </w:pPr>
      <w:r>
        <w:rPr>
          <w:rFonts w:ascii="仿宋_GB2312" w:hAnsi="宋体" w:eastAsia="仿宋_GB2312"/>
          <w:b/>
          <w:sz w:val="32"/>
          <w:szCs w:val="32"/>
        </w:rPr>
        <w:t>3.人才培养模式改革仍要继续深化</w:t>
      </w:r>
      <w:r>
        <w:rPr>
          <w:rFonts w:hint="eastAsia" w:ascii="仿宋_GB2312" w:hAnsi="宋体" w:eastAsia="仿宋_GB2312"/>
          <w:b/>
          <w:sz w:val="32"/>
          <w:szCs w:val="32"/>
        </w:rPr>
        <w:t>。</w:t>
      </w:r>
      <w:r>
        <w:rPr>
          <w:rFonts w:ascii="仿宋_GB2312" w:hAnsi="宋体" w:eastAsia="仿宋_GB2312"/>
          <w:sz w:val="32"/>
          <w:szCs w:val="32"/>
        </w:rPr>
        <w:t>校企合作、工学结合体制机制不完善，产教融合</w:t>
      </w:r>
      <w:r>
        <w:rPr>
          <w:rFonts w:hint="eastAsia" w:ascii="仿宋_GB2312" w:hAnsi="宋体" w:eastAsia="仿宋_GB2312"/>
          <w:sz w:val="32"/>
          <w:szCs w:val="32"/>
        </w:rPr>
        <w:t>机制尚未形成，校企合作的深度、广度和稳固度相对不足；政府、企业参与学院共建和发展的积极性有待进一步提高；校企合作，工学结合，服务地方经济建设和社会发展等工作仍有待加强。</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4.办学条件有待进一步改善。</w:t>
      </w:r>
      <w:r>
        <w:rPr>
          <w:rFonts w:hint="eastAsia" w:ascii="仿宋_GB2312" w:hAnsi="宋体" w:eastAsia="仿宋_GB2312"/>
          <w:sz w:val="32"/>
          <w:szCs w:val="32"/>
        </w:rPr>
        <w:t>学院现有的占地面积、教学行政用房、师生宿舍、实验实训设备、图书资料及信息化建设等基础设施有待进一步改善。</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5.课程、专业建设和专业结构有待进一步优化。</w:t>
      </w:r>
      <w:r>
        <w:rPr>
          <w:rFonts w:hint="eastAsia" w:ascii="仿宋_GB2312" w:hAnsi="宋体" w:eastAsia="仿宋_GB2312"/>
          <w:sz w:val="32"/>
          <w:szCs w:val="32"/>
        </w:rPr>
        <w:t>与高职院校人才培养模式改革和区域产业结构升级和社会发展的需要相比，学院的课程及专业建设仍存在一定差距，缺少有代表性的建设成果，高水平的专业带头人和骨干教师相对不足。</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6</w:t>
      </w:r>
      <w:r>
        <w:rPr>
          <w:rFonts w:ascii="仿宋_GB2312" w:hAnsi="宋体" w:eastAsia="仿宋_GB2312"/>
          <w:b/>
          <w:sz w:val="32"/>
          <w:szCs w:val="32"/>
        </w:rPr>
        <w:t>.</w:t>
      </w:r>
      <w:r>
        <w:rPr>
          <w:rFonts w:hint="eastAsia" w:ascii="仿宋_GB2312" w:hAnsi="宋体" w:eastAsia="仿宋_GB2312"/>
          <w:b/>
          <w:sz w:val="32"/>
          <w:szCs w:val="32"/>
        </w:rPr>
        <w:t>总体执行力</w:t>
      </w:r>
      <w:r>
        <w:rPr>
          <w:rFonts w:ascii="仿宋_GB2312" w:hAnsi="宋体" w:eastAsia="仿宋_GB2312"/>
          <w:b/>
          <w:sz w:val="32"/>
          <w:szCs w:val="32"/>
        </w:rPr>
        <w:t>偏低，学</w:t>
      </w:r>
      <w:r>
        <w:rPr>
          <w:rFonts w:hint="eastAsia" w:ascii="仿宋_GB2312" w:hAnsi="宋体" w:eastAsia="仿宋_GB2312"/>
          <w:b/>
          <w:sz w:val="32"/>
          <w:szCs w:val="32"/>
        </w:rPr>
        <w:t>院</w:t>
      </w:r>
      <w:r>
        <w:rPr>
          <w:rFonts w:ascii="仿宋_GB2312" w:hAnsi="宋体" w:eastAsia="仿宋_GB2312"/>
          <w:b/>
          <w:sz w:val="32"/>
          <w:szCs w:val="32"/>
        </w:rPr>
        <w:t>治理水平亟待提高。</w:t>
      </w:r>
      <w:r>
        <w:rPr>
          <w:rFonts w:ascii="仿宋_GB2312" w:hAnsi="宋体" w:eastAsia="仿宋_GB2312"/>
          <w:sz w:val="32"/>
          <w:szCs w:val="32"/>
        </w:rPr>
        <w:t>管理工作的科学化、规范化、精细化、民主化还存在薄弱环节;校内管理体制与运行机制改革需要进一步深化;二级管理需要探索并</w:t>
      </w:r>
      <w:r>
        <w:rPr>
          <w:rFonts w:hint="eastAsia" w:ascii="仿宋_GB2312" w:hAnsi="宋体" w:eastAsia="仿宋_GB2312"/>
          <w:sz w:val="32"/>
          <w:szCs w:val="32"/>
        </w:rPr>
        <w:t>逐步</w:t>
      </w:r>
      <w:r>
        <w:rPr>
          <w:rFonts w:ascii="仿宋_GB2312" w:hAnsi="宋体" w:eastAsia="仿宋_GB2312"/>
          <w:sz w:val="32"/>
          <w:szCs w:val="32"/>
        </w:rPr>
        <w:t>推进，</w:t>
      </w:r>
      <w:r>
        <w:rPr>
          <w:rFonts w:hint="eastAsia" w:ascii="仿宋_GB2312" w:hAnsi="宋体" w:eastAsia="仿宋_GB2312"/>
          <w:sz w:val="32"/>
          <w:szCs w:val="32"/>
        </w:rPr>
        <w:t>行政教辅</w:t>
      </w:r>
      <w:r>
        <w:rPr>
          <w:rFonts w:ascii="仿宋_GB2312" w:hAnsi="宋体" w:eastAsia="仿宋_GB2312"/>
          <w:sz w:val="32"/>
          <w:szCs w:val="32"/>
        </w:rPr>
        <w:t xml:space="preserve">部门服务能力和水平还需要进一步提高。 </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二、</w:t>
      </w:r>
      <w:r>
        <w:rPr>
          <w:rFonts w:ascii="仿宋_GB2312" w:hAnsi="宋体" w:eastAsia="仿宋_GB2312"/>
          <w:b/>
          <w:sz w:val="32"/>
          <w:szCs w:val="32"/>
        </w:rPr>
        <w:t xml:space="preserve">学院“十三五”发展面临的形势 </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 xml:space="preserve">今后五年是学院发展至关重要的时期。从总体上看，学院发展面临的机遇与挑战并存，希望与困难同在。 </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（一）</w:t>
      </w:r>
      <w:r>
        <w:rPr>
          <w:rFonts w:ascii="仿宋_GB2312" w:hAnsi="宋体" w:eastAsia="仿宋_GB2312"/>
          <w:b/>
          <w:sz w:val="32"/>
          <w:szCs w:val="32"/>
        </w:rPr>
        <w:t xml:space="preserve">“十三五”建设面临的新机遇 </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1.</w:t>
      </w:r>
      <w:r>
        <w:rPr>
          <w:rFonts w:ascii="仿宋_GB2312" w:hAnsi="宋体" w:eastAsia="仿宋_GB2312"/>
          <w:b/>
          <w:sz w:val="32"/>
          <w:szCs w:val="32"/>
        </w:rPr>
        <w:t>高职院校功能定位更加清晰</w:t>
      </w:r>
      <w:r>
        <w:rPr>
          <w:rFonts w:hint="eastAsia" w:ascii="仿宋_GB2312" w:hAnsi="宋体" w:eastAsia="仿宋_GB2312"/>
          <w:b/>
          <w:sz w:val="32"/>
          <w:szCs w:val="32"/>
        </w:rPr>
        <w:t>，</w:t>
      </w:r>
      <w:r>
        <w:rPr>
          <w:rFonts w:ascii="仿宋_GB2312" w:hAnsi="宋体" w:eastAsia="仿宋_GB2312"/>
          <w:b/>
          <w:sz w:val="32"/>
          <w:szCs w:val="32"/>
        </w:rPr>
        <w:t>高职教育发展环境进一步改善</w:t>
      </w:r>
      <w:r>
        <w:rPr>
          <w:rFonts w:hint="eastAsia" w:ascii="仿宋_GB2312" w:hAnsi="宋体" w:eastAsia="仿宋_GB2312"/>
          <w:b/>
          <w:sz w:val="32"/>
          <w:szCs w:val="32"/>
        </w:rPr>
        <w:t>，</w:t>
      </w:r>
      <w:r>
        <w:rPr>
          <w:rFonts w:ascii="仿宋_GB2312" w:hAnsi="宋体" w:eastAsia="仿宋_GB2312"/>
          <w:b/>
          <w:sz w:val="32"/>
          <w:szCs w:val="32"/>
        </w:rPr>
        <w:t>高职教育对区域经济发展作用更加明显。</w:t>
      </w:r>
      <w:r>
        <w:rPr>
          <w:rFonts w:ascii="仿宋_GB2312" w:hAnsi="宋体" w:eastAsia="仿宋_GB2312"/>
          <w:sz w:val="32"/>
          <w:szCs w:val="32"/>
        </w:rPr>
        <w:t>全面落实全国职业教育工作会议精神和</w:t>
      </w:r>
      <w:r>
        <w:rPr>
          <w:rFonts w:hint="eastAsia" w:ascii="仿宋_GB2312" w:hAnsi="宋体" w:eastAsia="仿宋_GB2312"/>
          <w:sz w:val="32"/>
          <w:szCs w:val="32"/>
        </w:rPr>
        <w:t>广东</w:t>
      </w:r>
      <w:r>
        <w:rPr>
          <w:rFonts w:ascii="仿宋_GB2312" w:hAnsi="宋体" w:eastAsia="仿宋_GB2312"/>
          <w:sz w:val="32"/>
          <w:szCs w:val="32"/>
        </w:rPr>
        <w:t>省进一步推进现代职业教育发展的意见要求，高职院校要密切产学研合作，培养服务区域发展的技术技能人才，重点服务企业特别是中小微企业的技术研发和产品升级，加强社区教育和终身学习服务</w:t>
      </w:r>
      <w:r>
        <w:rPr>
          <w:rFonts w:hint="eastAsia" w:ascii="仿宋_GB2312" w:hAnsi="宋体" w:eastAsia="仿宋_GB2312"/>
          <w:sz w:val="32"/>
          <w:szCs w:val="32"/>
        </w:rPr>
        <w:t>；要</w:t>
      </w:r>
      <w:r>
        <w:rPr>
          <w:rFonts w:ascii="仿宋_GB2312" w:hAnsi="宋体" w:eastAsia="仿宋_GB2312"/>
          <w:sz w:val="32"/>
          <w:szCs w:val="32"/>
        </w:rPr>
        <w:t>不断深化职业教育教学改革，深入推进产教融合，全面提高人才培养质量，为高职院校改革发展指明了新的方向。</w:t>
      </w:r>
      <w:r>
        <w:rPr>
          <w:rFonts w:hint="eastAsia" w:ascii="仿宋_GB2312" w:hAnsi="宋体" w:eastAsia="仿宋_GB2312"/>
          <w:sz w:val="32"/>
          <w:szCs w:val="32"/>
        </w:rPr>
        <w:t>同时，</w:t>
      </w:r>
      <w:r>
        <w:rPr>
          <w:rFonts w:ascii="仿宋_GB2312" w:hAnsi="宋体" w:eastAsia="仿宋_GB2312"/>
          <w:sz w:val="32"/>
          <w:szCs w:val="32"/>
        </w:rPr>
        <w:t xml:space="preserve">国家经济建设步入新常态，“实现中高速增长迈向中高端水平”的“双目标”，中国制造2025，互联网+，“大众创业，万众创新”的新思维必将对高职院校进一步深化体制机制改革，提高人才培养质量和服务区域经济发展能力提出新的要求。 </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2.汕头市实施创新驱动发展战略加快发展的系列决定为学院的发展创设了新机遇。</w:t>
      </w:r>
      <w:r>
        <w:rPr>
          <w:rFonts w:hint="eastAsia" w:ascii="仿宋_GB2312" w:hAnsi="宋体" w:eastAsia="仿宋_GB2312"/>
          <w:sz w:val="32"/>
          <w:szCs w:val="32"/>
        </w:rPr>
        <w:t>根据《汕头市国民经济和社会发展第十三个五年规划纲要》及《中共汕头市委、汕头市人民政府关于实施创新驱动发展战略加快建设创新型经济特区的决定》和《汕头市建设粤东科教创新中心规划方案》，“十三五”期间，汕头市着力打造区域性交通航运中心、科教创新中心、商贸物流中心和金融服务中心，力争到</w:t>
      </w:r>
      <w:r>
        <w:rPr>
          <w:rFonts w:ascii="仿宋_GB2312" w:hAnsi="宋体" w:eastAsia="仿宋_GB2312"/>
          <w:sz w:val="32"/>
          <w:szCs w:val="32"/>
        </w:rPr>
        <w:t>2020</w:t>
      </w:r>
      <w:r>
        <w:rPr>
          <w:rFonts w:hint="eastAsia" w:ascii="仿宋_GB2312" w:hAnsi="宋体" w:eastAsia="仿宋_GB2312"/>
          <w:sz w:val="32"/>
          <w:szCs w:val="32"/>
        </w:rPr>
        <w:t>年，全社会研究与开发（</w:t>
      </w:r>
      <w:r>
        <w:rPr>
          <w:rFonts w:ascii="仿宋_GB2312" w:hAnsi="宋体" w:eastAsia="仿宋_GB2312"/>
          <w:sz w:val="32"/>
          <w:szCs w:val="32"/>
        </w:rPr>
        <w:t>R&amp;D</w:t>
      </w:r>
      <w:r>
        <w:rPr>
          <w:rFonts w:hint="eastAsia" w:ascii="仿宋_GB2312" w:hAnsi="宋体" w:eastAsia="仿宋_GB2312"/>
          <w:sz w:val="32"/>
          <w:szCs w:val="32"/>
        </w:rPr>
        <w:t>）投入占地区生产总值（</w:t>
      </w:r>
      <w:r>
        <w:rPr>
          <w:rFonts w:ascii="仿宋_GB2312" w:hAnsi="宋体" w:eastAsia="仿宋_GB2312"/>
          <w:sz w:val="32"/>
          <w:szCs w:val="32"/>
        </w:rPr>
        <w:t>GDP</w:t>
      </w:r>
      <w:r>
        <w:rPr>
          <w:rFonts w:hint="eastAsia" w:ascii="仿宋_GB2312" w:hAnsi="宋体" w:eastAsia="仿宋_GB2312"/>
          <w:sz w:val="32"/>
          <w:szCs w:val="32"/>
        </w:rPr>
        <w:t>）的比重达</w:t>
      </w:r>
      <w:r>
        <w:rPr>
          <w:rFonts w:ascii="仿宋_GB2312" w:hAnsi="宋体" w:eastAsia="仿宋_GB2312"/>
          <w:sz w:val="32"/>
          <w:szCs w:val="32"/>
        </w:rPr>
        <w:t>2.0%</w:t>
      </w:r>
      <w:r>
        <w:rPr>
          <w:rFonts w:hint="eastAsia" w:ascii="仿宋_GB2312" w:hAnsi="宋体" w:eastAsia="仿宋_GB2312"/>
          <w:sz w:val="32"/>
          <w:szCs w:val="32"/>
        </w:rPr>
        <w:t>，全市科技进步贡献率达</w:t>
      </w:r>
      <w:r>
        <w:rPr>
          <w:rFonts w:ascii="仿宋_GB2312" w:hAnsi="宋体" w:eastAsia="仿宋_GB2312"/>
          <w:sz w:val="32"/>
          <w:szCs w:val="32"/>
        </w:rPr>
        <w:t>60</w:t>
      </w:r>
      <w:r>
        <w:rPr>
          <w:rFonts w:hint="eastAsia" w:ascii="仿宋_GB2312" w:hAnsi="宋体" w:eastAsia="仿宋_GB2312"/>
          <w:sz w:val="32"/>
          <w:szCs w:val="32"/>
        </w:rPr>
        <w:t>％左右，高新技术企业总数达到</w:t>
      </w:r>
      <w:r>
        <w:rPr>
          <w:rFonts w:ascii="仿宋_GB2312" w:hAnsi="宋体" w:eastAsia="仿宋_GB2312"/>
          <w:sz w:val="32"/>
          <w:szCs w:val="32"/>
        </w:rPr>
        <w:t>400</w:t>
      </w:r>
      <w:r>
        <w:rPr>
          <w:rFonts w:hint="eastAsia" w:ascii="仿宋_GB2312" w:hAnsi="宋体" w:eastAsia="仿宋_GB2312"/>
          <w:sz w:val="32"/>
          <w:szCs w:val="32"/>
        </w:rPr>
        <w:t>家以上，高新技术制造业增加值占工业增加值比重达</w:t>
      </w:r>
      <w:r>
        <w:rPr>
          <w:rFonts w:ascii="仿宋_GB2312" w:hAnsi="宋体" w:eastAsia="仿宋_GB2312"/>
          <w:sz w:val="32"/>
          <w:szCs w:val="32"/>
        </w:rPr>
        <w:t>28%</w:t>
      </w:r>
      <w:r>
        <w:rPr>
          <w:rFonts w:hint="eastAsia" w:ascii="仿宋_GB2312" w:hAnsi="宋体" w:eastAsia="仿宋_GB2312"/>
          <w:sz w:val="32"/>
          <w:szCs w:val="32"/>
        </w:rPr>
        <w:t>，战略性新兴产业增加值占</w:t>
      </w:r>
      <w:r>
        <w:rPr>
          <w:rFonts w:ascii="仿宋_GB2312" w:hAnsi="宋体" w:eastAsia="仿宋_GB2312"/>
          <w:sz w:val="32"/>
          <w:szCs w:val="32"/>
        </w:rPr>
        <w:t>GDP</w:t>
      </w:r>
      <w:r>
        <w:rPr>
          <w:rFonts w:hint="eastAsia" w:ascii="仿宋_GB2312" w:hAnsi="宋体" w:eastAsia="仿宋_GB2312"/>
          <w:sz w:val="32"/>
          <w:szCs w:val="32"/>
        </w:rPr>
        <w:t>比重达</w:t>
      </w:r>
      <w:r>
        <w:rPr>
          <w:rFonts w:ascii="仿宋_GB2312" w:hAnsi="宋体" w:eastAsia="仿宋_GB2312"/>
          <w:sz w:val="32"/>
          <w:szCs w:val="32"/>
        </w:rPr>
        <w:t>16%</w:t>
      </w:r>
      <w:r>
        <w:rPr>
          <w:rFonts w:hint="eastAsia" w:ascii="仿宋_GB2312" w:hAnsi="宋体" w:eastAsia="仿宋_GB2312"/>
          <w:sz w:val="32"/>
          <w:szCs w:val="32"/>
        </w:rPr>
        <w:t>左右。高等教育毛入学率达到85％。科技支撑引领经济社会发展的能力大幅提升，实现从要素驱动向创新驱动的全面转变，全市主要创新指标达到或超过全省平均水平，跨入省级创新型城市行列。为</w:t>
      </w:r>
      <w:r>
        <w:rPr>
          <w:rFonts w:ascii="仿宋_GB2312" w:hAnsi="宋体" w:eastAsia="仿宋_GB2312"/>
          <w:sz w:val="32"/>
          <w:szCs w:val="32"/>
        </w:rPr>
        <w:t>实现</w:t>
      </w:r>
      <w:r>
        <w:rPr>
          <w:rFonts w:hint="eastAsia" w:ascii="仿宋_GB2312" w:hAnsi="宋体" w:eastAsia="仿宋_GB2312"/>
          <w:sz w:val="32"/>
          <w:szCs w:val="32"/>
        </w:rPr>
        <w:t>上述</w:t>
      </w:r>
      <w:r>
        <w:rPr>
          <w:rFonts w:ascii="仿宋_GB2312" w:hAnsi="宋体" w:eastAsia="仿宋_GB2312"/>
          <w:sz w:val="32"/>
          <w:szCs w:val="32"/>
        </w:rPr>
        <w:t>发展目标，汕头</w:t>
      </w:r>
      <w:r>
        <w:rPr>
          <w:rFonts w:hint="eastAsia" w:ascii="仿宋_GB2312" w:hAnsi="宋体" w:eastAsia="仿宋_GB2312"/>
          <w:sz w:val="32"/>
          <w:szCs w:val="32"/>
        </w:rPr>
        <w:t>市将加大对高等教育的投入，学院也将会承担更多的发展任务，为学院的转型升格和长远发展必将产生深远的影响。</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3.打造</w:t>
      </w:r>
      <w:r>
        <w:rPr>
          <w:rFonts w:ascii="仿宋_GB2312" w:hAnsi="宋体" w:eastAsia="仿宋_GB2312"/>
          <w:b/>
          <w:sz w:val="32"/>
          <w:szCs w:val="32"/>
        </w:rPr>
        <w:t>品牌专业为学院内涵发展注入新活力</w:t>
      </w:r>
      <w:r>
        <w:rPr>
          <w:rFonts w:ascii="仿宋_GB2312" w:hAnsi="宋体" w:eastAsia="仿宋_GB2312"/>
          <w:sz w:val="32"/>
          <w:szCs w:val="32"/>
        </w:rPr>
        <w:t>。以品牌专业建设为龙头，带动其它专业的发展，提升各专业人才培养质量和水平，更好地服务于区域经济发展的需要，进一步深化产教融合、国际合作，强化特色、树立品牌，这是</w:t>
      </w:r>
      <w:r>
        <w:rPr>
          <w:rFonts w:hint="eastAsia" w:ascii="仿宋_GB2312" w:hAnsi="宋体" w:eastAsia="仿宋_GB2312"/>
          <w:sz w:val="32"/>
          <w:szCs w:val="32"/>
        </w:rPr>
        <w:t>今后</w:t>
      </w:r>
      <w:r>
        <w:rPr>
          <w:rFonts w:ascii="仿宋_GB2312" w:hAnsi="宋体" w:eastAsia="仿宋_GB2312"/>
          <w:sz w:val="32"/>
          <w:szCs w:val="32"/>
        </w:rPr>
        <w:t xml:space="preserve">学院专业建设乃至内涵提升的重大责任。 </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（二）</w:t>
      </w:r>
      <w:r>
        <w:rPr>
          <w:rFonts w:ascii="仿宋_GB2312" w:hAnsi="宋体" w:eastAsia="仿宋_GB2312"/>
          <w:b/>
          <w:sz w:val="32"/>
          <w:szCs w:val="32"/>
        </w:rPr>
        <w:t xml:space="preserve">“十三五”建设面临的新挑战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1.面临</w:t>
      </w:r>
      <w:r>
        <w:rPr>
          <w:rFonts w:ascii="仿宋_GB2312" w:hAnsi="宋体" w:eastAsia="仿宋_GB2312"/>
          <w:sz w:val="32"/>
          <w:szCs w:val="32"/>
        </w:rPr>
        <w:t>以</w:t>
      </w:r>
      <w:r>
        <w:rPr>
          <w:rFonts w:hint="eastAsia" w:ascii="仿宋_GB2312" w:hAnsi="宋体" w:eastAsia="仿宋_GB2312"/>
          <w:sz w:val="32"/>
          <w:szCs w:val="32"/>
        </w:rPr>
        <w:t>“</w:t>
      </w:r>
      <w:r>
        <w:rPr>
          <w:rFonts w:ascii="仿宋_GB2312" w:hAnsi="宋体" w:eastAsia="仿宋_GB2312"/>
          <w:sz w:val="32"/>
          <w:szCs w:val="32"/>
        </w:rPr>
        <w:t>协同创新、协同育人</w:t>
      </w:r>
      <w:r>
        <w:rPr>
          <w:rFonts w:hint="eastAsia" w:ascii="仿宋_GB2312" w:hAnsi="宋体" w:eastAsia="仿宋_GB2312"/>
          <w:sz w:val="32"/>
          <w:szCs w:val="32"/>
        </w:rPr>
        <w:t>”</w:t>
      </w:r>
      <w:r>
        <w:rPr>
          <w:rFonts w:ascii="仿宋_GB2312" w:hAnsi="宋体" w:eastAsia="仿宋_GB2312"/>
          <w:sz w:val="32"/>
          <w:szCs w:val="32"/>
        </w:rPr>
        <w:t>为引领</w:t>
      </w:r>
      <w:r>
        <w:rPr>
          <w:rFonts w:hint="eastAsia" w:ascii="仿宋_GB2312" w:hAnsi="宋体" w:eastAsia="仿宋_GB2312"/>
          <w:sz w:val="32"/>
          <w:szCs w:val="32"/>
        </w:rPr>
        <w:t>，深化办学体制改革，吸引社会力量以资本、知识、技术、管理等要素参与学院改革，创新办学机制体制的紧迫任务。</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 xml:space="preserve">生源减少与新建本科(含独立学院)向高职本科转型给高职专科院校办学带来严峻考验，高职专科院校之间竞争也日趋激烈，招生工作将面临很大压力，直接影响到学院的生存与发展。学院必须在拓宽招生路径和生源渠道以及社会培训方面迈出更大的步伐。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3.校企合作，</w:t>
      </w:r>
      <w:r>
        <w:rPr>
          <w:rFonts w:ascii="仿宋_GB2312" w:hAnsi="宋体" w:eastAsia="仿宋_GB2312"/>
          <w:sz w:val="32"/>
          <w:szCs w:val="32"/>
        </w:rPr>
        <w:t>产学结合</w:t>
      </w:r>
      <w:r>
        <w:rPr>
          <w:rFonts w:hint="eastAsia" w:ascii="仿宋_GB2312" w:hAnsi="宋体" w:eastAsia="仿宋_GB2312"/>
          <w:sz w:val="32"/>
          <w:szCs w:val="32"/>
        </w:rPr>
        <w:t>办学模式有待深化。</w:t>
      </w:r>
      <w:r>
        <w:rPr>
          <w:rFonts w:ascii="仿宋_GB2312" w:hAnsi="宋体" w:eastAsia="仿宋_GB2312"/>
          <w:sz w:val="32"/>
          <w:szCs w:val="32"/>
        </w:rPr>
        <w:t xml:space="preserve">从宏观政策上看，高职院校与行业企业紧密联系的体制机制尚未完全形成，办学活力不足;从学院层面看，校企合作的内容、形式和途径有待创新;教师社会服务能力不强，影响社会服务内容、数量和水平。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4.</w:t>
      </w:r>
      <w:r>
        <w:rPr>
          <w:rFonts w:ascii="仿宋_GB2312" w:hAnsi="宋体" w:eastAsia="仿宋_GB2312"/>
          <w:sz w:val="32"/>
          <w:szCs w:val="32"/>
        </w:rPr>
        <w:t>学院内涵建设还需要不断夯实。</w:t>
      </w:r>
      <w:r>
        <w:rPr>
          <w:rFonts w:hint="eastAsia" w:ascii="仿宋_GB2312" w:hAnsi="宋体" w:eastAsia="仿宋_GB2312"/>
          <w:sz w:val="32"/>
          <w:szCs w:val="32"/>
        </w:rPr>
        <w:t>学院</w:t>
      </w:r>
      <w:r>
        <w:rPr>
          <w:rFonts w:ascii="仿宋_GB2312" w:hAnsi="宋体" w:eastAsia="仿宋_GB2312"/>
          <w:sz w:val="32"/>
          <w:szCs w:val="32"/>
        </w:rPr>
        <w:t>省级品牌特色专业</w:t>
      </w:r>
      <w:r>
        <w:rPr>
          <w:rFonts w:hint="eastAsia" w:ascii="仿宋_GB2312" w:hAnsi="宋体" w:eastAsia="仿宋_GB2312"/>
          <w:sz w:val="32"/>
          <w:szCs w:val="32"/>
        </w:rPr>
        <w:t>有待实现突破</w:t>
      </w:r>
      <w:r>
        <w:rPr>
          <w:rFonts w:ascii="仿宋_GB2312" w:hAnsi="宋体" w:eastAsia="仿宋_GB2312"/>
          <w:sz w:val="32"/>
          <w:szCs w:val="32"/>
        </w:rPr>
        <w:t>，强势专业特色不明显;教育教学改革尚需进一步深入，研究力度亟待加强;</w:t>
      </w:r>
      <w:r>
        <w:rPr>
          <w:rFonts w:hint="eastAsia" w:ascii="仿宋_GB2312" w:hAnsi="宋体" w:eastAsia="仿宋_GB2312"/>
          <w:sz w:val="32"/>
          <w:szCs w:val="32"/>
        </w:rPr>
        <w:t>骨干教师、有</w:t>
      </w:r>
      <w:r>
        <w:rPr>
          <w:rFonts w:ascii="仿宋_GB2312" w:hAnsi="宋体" w:eastAsia="仿宋_GB2312"/>
          <w:sz w:val="32"/>
          <w:szCs w:val="32"/>
        </w:rPr>
        <w:t>影响的名师以及专业发展领军人物不多，教师的</w:t>
      </w:r>
      <w:r>
        <w:rPr>
          <w:rFonts w:hint="eastAsia" w:ascii="仿宋_GB2312" w:hAnsi="宋体" w:eastAsia="仿宋_GB2312"/>
          <w:sz w:val="32"/>
          <w:szCs w:val="32"/>
        </w:rPr>
        <w:t>企业</w:t>
      </w:r>
      <w:r>
        <w:rPr>
          <w:rFonts w:ascii="仿宋_GB2312" w:hAnsi="宋体" w:eastAsia="仿宋_GB2312"/>
          <w:sz w:val="32"/>
          <w:szCs w:val="32"/>
        </w:rPr>
        <w:t xml:space="preserve">实践能力不足，严重制约专业水平的提升和人才培养质量的提高。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5.</w:t>
      </w:r>
      <w:r>
        <w:rPr>
          <w:rFonts w:ascii="仿宋_GB2312" w:hAnsi="宋体" w:eastAsia="仿宋_GB2312"/>
          <w:sz w:val="32"/>
          <w:szCs w:val="32"/>
        </w:rPr>
        <w:t>办学资金制约的矛盾依然存在。随着高职教育的快速发展，新一轮院校间的激烈竞争将会加剧，学院</w:t>
      </w:r>
      <w:r>
        <w:rPr>
          <w:rFonts w:hint="eastAsia" w:ascii="仿宋_GB2312" w:hAnsi="宋体" w:eastAsia="仿宋_GB2312"/>
          <w:sz w:val="32"/>
          <w:szCs w:val="32"/>
        </w:rPr>
        <w:t>校区资源整合、校舍更新及</w:t>
      </w:r>
      <w:r>
        <w:rPr>
          <w:rFonts w:ascii="仿宋_GB2312" w:hAnsi="宋体" w:eastAsia="仿宋_GB2312"/>
          <w:sz w:val="32"/>
          <w:szCs w:val="32"/>
        </w:rPr>
        <w:t xml:space="preserve">内涵建设和学院发展受办学资金制约的矛盾依然存在。 </w:t>
      </w:r>
    </w:p>
    <w:p>
      <w:pPr>
        <w:pStyle w:val="3"/>
        <w:spacing w:before="0" w:after="0" w:line="600" w:lineRule="exact"/>
        <w:ind w:firstLine="630" w:firstLineChars="196"/>
        <w:rPr>
          <w:rFonts w:hint="eastAsia" w:ascii="仿宋_GB2312" w:hAnsi="宋体" w:eastAsia="仿宋_GB2312"/>
        </w:rPr>
      </w:pPr>
      <w:r>
        <w:rPr>
          <w:rFonts w:hint="eastAsia" w:ascii="仿宋_GB2312" w:hAnsi="宋体" w:eastAsia="仿宋_GB2312"/>
        </w:rPr>
        <w:t>三、“十三五”期间的指导思想、发展目标及总体思路</w:t>
      </w:r>
    </w:p>
    <w:p>
      <w:pPr>
        <w:spacing w:line="600" w:lineRule="exact"/>
        <w:ind w:firstLine="639" w:firstLineChars="199"/>
        <w:rPr>
          <w:rFonts w:hint="eastAsia" w:ascii="仿宋_GB2312" w:hAnsi="宋体" w:eastAsia="仿宋_GB2312"/>
          <w:b/>
          <w:bCs/>
          <w:sz w:val="32"/>
          <w:szCs w:val="32"/>
        </w:rPr>
      </w:pPr>
      <w:r>
        <w:rPr>
          <w:rFonts w:hint="eastAsia" w:ascii="仿宋_GB2312" w:hAnsi="宋体" w:eastAsia="仿宋_GB2312"/>
          <w:b/>
          <w:bCs/>
          <w:sz w:val="32"/>
          <w:szCs w:val="32"/>
        </w:rPr>
        <w:t>（一）指导思想与发展战略</w:t>
      </w:r>
    </w:p>
    <w:p>
      <w:pPr>
        <w:spacing w:line="600" w:lineRule="exact"/>
        <w:ind w:firstLine="639" w:firstLineChars="199"/>
        <w:rPr>
          <w:rFonts w:hint="eastAsia" w:ascii="仿宋_GB2312" w:eastAsia="仿宋_GB2312"/>
          <w:sz w:val="32"/>
          <w:szCs w:val="32"/>
        </w:rPr>
      </w:pPr>
      <w:r>
        <w:rPr>
          <w:rFonts w:hint="eastAsia" w:ascii="仿宋_GB2312" w:hAnsi="宋体" w:eastAsia="仿宋_GB2312"/>
          <w:b/>
          <w:bCs/>
          <w:sz w:val="32"/>
          <w:szCs w:val="32"/>
        </w:rPr>
        <w:t>1.指导思想：</w:t>
      </w:r>
      <w:r>
        <w:rPr>
          <w:rFonts w:hint="eastAsia" w:ascii="仿宋_GB2312" w:eastAsia="仿宋_GB2312"/>
          <w:sz w:val="32"/>
          <w:szCs w:val="32"/>
        </w:rPr>
        <w:t>以邓小平理论、“三个代表”重要思想和科学发展观及党的十八大精神为指导，深入贯彻习近平总书记系列重要讲话精神，坚持“四个全面”要求，全面贯彻党的教育方针，深化教育教学改革，大力实施“质量立校、人才强校、文化塑校和特色兴校”战略，立足“创新强校工程”建设规划基础，坚持以人才培养为根本，以教学工作为中心，以专业建设为龙头，以教研科研为支撑，以师资建设为基础，坚定不移地走内涵式发展道路；坚持以立德树人为根本，以服务发展为宗旨，以促进创业就业为导向，适应经济新常态和技术技能人才成长成才需要，完善产教融合、协同育人机制，创新人才培养模式，全面提高人才培养质量，不断增强核心竞争力，为区域经济发展提供高素质、高技术、高技能、应用型专门人才和多样化社会服务。</w:t>
      </w:r>
    </w:p>
    <w:p>
      <w:pPr>
        <w:spacing w:line="600" w:lineRule="exact"/>
        <w:ind w:firstLine="639" w:firstLineChars="199"/>
        <w:rPr>
          <w:rFonts w:hint="eastAsia" w:ascii="仿宋_GB2312" w:hAnsi="宋体" w:eastAsia="仿宋_GB2312"/>
          <w:sz w:val="32"/>
          <w:szCs w:val="32"/>
        </w:rPr>
      </w:pPr>
      <w:r>
        <w:rPr>
          <w:rFonts w:hint="eastAsia" w:ascii="仿宋_GB2312" w:hAnsi="宋体" w:eastAsia="仿宋_GB2312"/>
          <w:b/>
          <w:bCs/>
          <w:sz w:val="32"/>
          <w:szCs w:val="32"/>
        </w:rPr>
        <w:t>2.办学定位：</w:t>
      </w:r>
      <w:r>
        <w:rPr>
          <w:rFonts w:hint="eastAsia" w:ascii="仿宋_GB2312" w:hAnsi="宋体" w:eastAsia="仿宋_GB2312"/>
          <w:sz w:val="32"/>
          <w:szCs w:val="32"/>
        </w:rPr>
        <w:t>以理、工、经、管、艺等多专业协调发展的全日制高等职业教育为主，学历教育、继续教育和职业技能培训相结合，力争在未来5年内，通过进一步优化资源配置和创新管理体制，形成较为成熟和规范的高职教育模式，把学院建设成为区域性高职教育省内一流，部分领域国内领先，具有国际视野，特色鲜明，社会高度认可的高职院校，为创新型经济特区、东南沿海重要港口城市和粤东中心城市的传统优势产业、先进制造业、战略性新兴产业及现代服务业培养满足职业岗位需求的，面向生产、建设、服务和管理一线的技术技能人才和技术服务支持。</w:t>
      </w:r>
    </w:p>
    <w:p>
      <w:pPr>
        <w:spacing w:line="600" w:lineRule="exact"/>
        <w:ind w:firstLine="639" w:firstLineChars="199"/>
        <w:rPr>
          <w:rFonts w:hint="eastAsia" w:ascii="仿宋_GB2312" w:hAnsi="宋体" w:eastAsia="仿宋_GB2312"/>
          <w:sz w:val="32"/>
          <w:szCs w:val="32"/>
        </w:rPr>
      </w:pPr>
      <w:r>
        <w:rPr>
          <w:rFonts w:hint="eastAsia" w:ascii="仿宋_GB2312" w:hAnsi="宋体" w:eastAsia="仿宋_GB2312"/>
          <w:b/>
          <w:bCs/>
          <w:sz w:val="32"/>
          <w:szCs w:val="32"/>
        </w:rPr>
        <w:t>3.发展战略：</w:t>
      </w:r>
      <w:r>
        <w:rPr>
          <w:rFonts w:hint="eastAsia" w:ascii="仿宋_GB2312" w:hAnsi="宋体" w:eastAsia="仿宋_GB2312"/>
          <w:sz w:val="32"/>
          <w:szCs w:val="32"/>
        </w:rPr>
        <w:t>紧抓依法治国和国家高职教育改革的良好机遇，围绕广东省促进粤东西北地区振兴发展、“汕头华侨经济文化合作试验区”建设、21世纪“海上丝绸之路”重要门户建设等一系列重大决策，坚持“内涵、特色、效益”的总体发展战略，深化改革，“走质量和特色之路”，以内涵提水平，以特色促发展，全面提升学院办学水平和人才培养质量。</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实施“质量立校”战略。坚持职业教育的办学方向，注重实践教学和过程教学，在实践中探索，在探索中实践，走特色发展之路。在专业设置、人才培养方式、校企合作、办学体制机制、社会服务、内部管理、毕业生就业工作、校园文化建设等方面积极探索创新，逐步凸显特色。</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实施“人才强校”战略。坚持以人才培养为根本，以内涵发展为主题，以提高人才培养质量为核心，以规范管理为依托，以校企合作为平台，以改革创新为动力，创新人事管理，以强化师资队伍建设为保障，完善用人机制，大力加强内涵建设，着力增强学院发展的软实力。</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实施“文化塑校”战略。秉承“知行合一，德技双馨”校训，彰显“勤教力学”校风、教风、学风，全面推进创业教育，弘扬民族传统文化及潮汕文化精粹，培育校本文化根基，提升学院文化品位，建设师生共同的精神家园。</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实施“特色兴校”战略。坚持立足管理，依托企业，面向需求，突出重点，彰显高职特色，以特色求生存，以特色促发展。不断从办学指导思想、校风学风建设、学科专业建设、人才培养模式、科学技术研究和校园文化建设等方面去寻求特色，凝炼特色，打造基于ISO9001国际质量标准的管理特色和富有潮汕地方特色的综合性高职院校。</w:t>
      </w:r>
    </w:p>
    <w:p>
      <w:pPr>
        <w:pStyle w:val="3"/>
        <w:spacing w:before="0" w:after="0" w:line="600" w:lineRule="exact"/>
        <w:ind w:firstLine="630" w:firstLineChars="196"/>
        <w:rPr>
          <w:rFonts w:hint="eastAsia" w:ascii="仿宋_GB2312" w:hAnsi="宋体" w:eastAsia="仿宋_GB2312"/>
        </w:rPr>
      </w:pPr>
      <w:r>
        <w:rPr>
          <w:rFonts w:hint="eastAsia" w:ascii="仿宋_GB2312" w:hAnsi="宋体" w:eastAsia="仿宋_GB2312"/>
        </w:rPr>
        <w:t>（二）发展目标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以服务粤东地方经济社会发展为主线，进一步拓宽服务面向；以推进省级示范性高职院校建设为抓手，持续推进各项内涵建设，积蓄力量，苦练内功，到“十三五”末，使学院职业教育的办学特征更加凸显，专业结构日趋合理，内部管理进一步完善，建立起现代大学制度体系，初步实现治理体系和治理能力现代化；教育教学质量明显提升，人才培养质量不断提高；信息化水平大幅提升，行业引导型校企合作模式取得明显成效；多主体协同育人、科学研究、社会服务、文化传承的机制初步形成，协同平台、科研、教学管理团队建设方面取得长足发展；教学、科研及自主创新能力得到提升，创新成果取得新的突破，各方优质资源有效汇聚、共享；充分发挥“潮”“侨”优势，依托港澳台，积极探索对外交流与合作，初步建立与国外、境外高校合作育人模式，逐步提升学院的国际合作办学水平；办学条件得到进一步改善，办学活力明显增强，办学实力和社会服务能力显著提升。</w:t>
      </w:r>
    </w:p>
    <w:p>
      <w:pPr>
        <w:pStyle w:val="3"/>
        <w:spacing w:before="0" w:after="0" w:line="600" w:lineRule="exact"/>
        <w:ind w:firstLine="630" w:firstLineChars="196"/>
        <w:rPr>
          <w:rFonts w:hint="eastAsia" w:ascii="仿宋_GB2312" w:hAnsi="宋体" w:eastAsia="仿宋_GB2312"/>
        </w:rPr>
      </w:pPr>
      <w:r>
        <w:rPr>
          <w:rFonts w:hint="eastAsia" w:ascii="仿宋_GB2312" w:hAnsi="宋体" w:eastAsia="仿宋_GB2312"/>
        </w:rPr>
        <w:t>（三）总体思路</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1.突出重点，确保协调发展。</w:t>
      </w:r>
      <w:r>
        <w:rPr>
          <w:rFonts w:hint="eastAsia" w:ascii="仿宋_GB2312" w:hAnsi="宋体" w:eastAsia="仿宋_GB2312"/>
          <w:sz w:val="32"/>
          <w:szCs w:val="32"/>
        </w:rPr>
        <w:t>立足学院校区资源整合、院本部发展用地开发及基础设施维护与更新建设任务，以教学改革、师资队伍及管理队伍建设、基础性实验实训条件建设等为重点，统一思路，常抓不懈，初步形成主线明晰、重点突出、其它工作相得益彰、全面进步的良性工作格局。</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2.优化结构，加强内涵建设。</w:t>
      </w:r>
      <w:r>
        <w:rPr>
          <w:rFonts w:hint="eastAsia" w:ascii="仿宋_GB2312" w:hAnsi="宋体" w:eastAsia="仿宋_GB2312"/>
          <w:sz w:val="32"/>
          <w:szCs w:val="32"/>
        </w:rPr>
        <w:t>深化学院治理结构，进一步明确系（部）二级部门的办学职责、权利与义务，充分发挥教授在治学中的作用；依据市场需求，积极调整专业结构，初步形成与市场和产业链对接的、具有学院自身办学优势和特色的专业群结构；进一步优化教师队伍和管理队伍结构，强化人才队伍建设，着力在队伍的学历职称结构、能力结构、“双师”结构等改善上下功夫；根据有利于专业和专业群建设、便于管理的原则，推进院系二级管理模式的实施。</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3.强化管理，提升执行力。</w:t>
      </w:r>
      <w:r>
        <w:rPr>
          <w:rFonts w:hint="eastAsia" w:ascii="仿宋_GB2312" w:hAnsi="宋体" w:eastAsia="仿宋_GB2312"/>
          <w:sz w:val="32"/>
          <w:szCs w:val="32"/>
        </w:rPr>
        <w:t>立足学院《章程》，进一步推进依法治校，规范管理，深化内部机构改革工作，建立起覆盖全院的ISO9001质量管理体系，构建起责、权、利相统一管理运行机制，强化部门职能；深化人事制度改革，明确各类人员职责，建立健全考核评价和奖罚机制，改革收入分配制度，逐步实行优质优酬，充分调动广大教职工的积极性；强化教学和学生管理，规范教学过程和学生日常管理，保障正常的教学和生活秩序；加强财务管理，提高资金使用效能；进一步完善各项内部管理规章制度，为教学、管理、发展和提高学院的育人水平提供科学、规范的制度保障。</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4.重视教学，扎实推进专业课程建设。</w:t>
      </w:r>
      <w:r>
        <w:rPr>
          <w:rFonts w:hint="eastAsia" w:ascii="仿宋_GB2312" w:hAnsi="宋体" w:eastAsia="仿宋_GB2312"/>
          <w:sz w:val="32"/>
          <w:szCs w:val="32"/>
        </w:rPr>
        <w:t>立足社会需求推进专业设置与课程改革，完善工学结合的人才培养模式，健全学院教学与管理的运行机制及制度保障机制，构建有效支撑实践教学的实验实训体系，全面服务学院人才培养质量的提升。</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5.培育特色，服务地方经济建设。</w:t>
      </w:r>
      <w:r>
        <w:rPr>
          <w:rFonts w:hint="eastAsia" w:ascii="仿宋_GB2312" w:hAnsi="宋体" w:eastAsia="仿宋_GB2312"/>
          <w:sz w:val="32"/>
          <w:szCs w:val="32"/>
        </w:rPr>
        <w:t>充分利用现有办学基础和优势，积极利用上级有关质量工程等专题项目建设的契机，培育学院特色要素和特色项目。在探索校企合作办学体制机制、推行工学结合的人才培养模式、“校中厂”建设、社会服务能力、学生综合素质和职业能力培养、内部管理、校园文化建设等方面力争探索出具有鲜明个性的特色。</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6.整体推进，适时升格为省级示范性高职院校。</w:t>
      </w:r>
      <w:r>
        <w:rPr>
          <w:rFonts w:hint="eastAsia" w:ascii="仿宋_GB2312" w:hAnsi="宋体" w:eastAsia="仿宋_GB2312"/>
          <w:sz w:val="32"/>
          <w:szCs w:val="32"/>
        </w:rPr>
        <w:t>以省级示范性高职院校建设为抓手，在积极调整专业结构、优化人才培养模式，创新人才培养体制机制，强化内涵建设及完善内部管理等基础上，经过5年的努力建设，增强学院办学的软、硬实力，在“十三五”期间适时升格为省级示范性高职院校。</w:t>
      </w:r>
    </w:p>
    <w:p>
      <w:pPr>
        <w:spacing w:line="600" w:lineRule="exact"/>
        <w:ind w:firstLine="630" w:firstLineChars="196"/>
        <w:rPr>
          <w:rFonts w:hint="eastAsia" w:ascii="仿宋_GB2312" w:hAnsi="宋体" w:eastAsia="仿宋_GB2312"/>
          <w:sz w:val="32"/>
          <w:szCs w:val="32"/>
        </w:rPr>
      </w:pPr>
      <w:r>
        <w:rPr>
          <w:rFonts w:hint="eastAsia" w:ascii="仿宋_GB2312" w:hAnsi="宋体" w:eastAsia="仿宋_GB2312"/>
          <w:b/>
          <w:sz w:val="32"/>
          <w:szCs w:val="32"/>
        </w:rPr>
        <w:t>四、“十三五”期间学院发展的主要任务</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（一）办学规模与</w:t>
      </w:r>
      <w:r>
        <w:rPr>
          <w:rFonts w:ascii="仿宋_GB2312" w:hAnsi="宋体" w:eastAsia="仿宋_GB2312"/>
          <w:b/>
          <w:sz w:val="32"/>
          <w:szCs w:val="32"/>
        </w:rPr>
        <w:t xml:space="preserve">教学质量目标 </w:t>
      </w:r>
    </w:p>
    <w:p>
      <w:pPr>
        <w:spacing w:line="600" w:lineRule="exact"/>
        <w:ind w:firstLine="640" w:firstLineChars="200"/>
        <w:rPr>
          <w:rFonts w:hint="eastAsia" w:ascii="仿宋_GB2312" w:hAnsi="宋体" w:eastAsia="仿宋_GB2312"/>
          <w:sz w:val="32"/>
          <w:szCs w:val="32"/>
        </w:rPr>
      </w:pPr>
      <w:r>
        <w:rPr>
          <w:rFonts w:ascii="仿宋_GB2312" w:hAnsi="宋体" w:eastAsia="仿宋_GB2312"/>
          <w:sz w:val="32"/>
          <w:szCs w:val="32"/>
        </w:rPr>
        <w:t>以</w:t>
      </w:r>
      <w:r>
        <w:rPr>
          <w:rFonts w:hint="eastAsia" w:ascii="仿宋_GB2312" w:hAnsi="宋体" w:eastAsia="仿宋_GB2312"/>
          <w:sz w:val="32"/>
          <w:szCs w:val="32"/>
        </w:rPr>
        <w:t>广东省示范性高等职业院校建设标准</w:t>
      </w:r>
      <w:r>
        <w:rPr>
          <w:rFonts w:ascii="仿宋_GB2312" w:hAnsi="宋体" w:eastAsia="仿宋_GB2312"/>
          <w:sz w:val="32"/>
          <w:szCs w:val="32"/>
        </w:rPr>
        <w:t>为依据，大力加强学院办学基础能力和内涵建设。</w:t>
      </w:r>
      <w:r>
        <w:rPr>
          <w:rFonts w:hint="eastAsia" w:ascii="仿宋_GB2312" w:hAnsi="宋体" w:eastAsia="仿宋_GB2312"/>
          <w:sz w:val="32"/>
          <w:szCs w:val="32"/>
        </w:rPr>
        <w:t>“十三五”期间</w:t>
      </w:r>
      <w:r>
        <w:rPr>
          <w:rFonts w:ascii="仿宋_GB2312" w:hAnsi="宋体" w:eastAsia="仿宋_GB2312"/>
          <w:sz w:val="32"/>
          <w:szCs w:val="32"/>
        </w:rPr>
        <w:t>全日制高等职业教育在校生</w:t>
      </w:r>
      <w:r>
        <w:rPr>
          <w:rFonts w:hint="eastAsia" w:ascii="仿宋_GB2312" w:hAnsi="宋体" w:eastAsia="仿宋_GB2312"/>
          <w:sz w:val="32"/>
          <w:szCs w:val="32"/>
        </w:rPr>
        <w:t>规模控制在</w:t>
      </w:r>
      <w:r>
        <w:rPr>
          <w:rFonts w:ascii="仿宋_GB2312" w:hAnsi="宋体" w:eastAsia="仿宋_GB2312"/>
          <w:sz w:val="32"/>
          <w:szCs w:val="32"/>
        </w:rPr>
        <w:t>1</w:t>
      </w:r>
      <w:r>
        <w:rPr>
          <w:rFonts w:hint="eastAsia" w:ascii="仿宋_GB2312" w:hAnsi="宋体" w:eastAsia="仿宋_GB2312"/>
          <w:sz w:val="32"/>
          <w:szCs w:val="32"/>
        </w:rPr>
        <w:t>4</w:t>
      </w:r>
      <w:r>
        <w:rPr>
          <w:rFonts w:ascii="仿宋_GB2312" w:hAnsi="宋体" w:eastAsia="仿宋_GB2312"/>
          <w:sz w:val="32"/>
          <w:szCs w:val="32"/>
        </w:rPr>
        <w:t>,000人左右，累计培养</w:t>
      </w:r>
      <w:r>
        <w:rPr>
          <w:rFonts w:hint="eastAsia" w:ascii="仿宋_GB2312" w:hAnsi="宋体" w:eastAsia="仿宋_GB2312"/>
          <w:sz w:val="32"/>
          <w:szCs w:val="32"/>
        </w:rPr>
        <w:t>2</w:t>
      </w:r>
      <w:r>
        <w:rPr>
          <w:rFonts w:ascii="仿宋_GB2312" w:hAnsi="宋体" w:eastAsia="仿宋_GB2312"/>
          <w:sz w:val="32"/>
          <w:szCs w:val="32"/>
        </w:rPr>
        <w:t>万名以上高素质技能型专门人才，</w:t>
      </w:r>
      <w:r>
        <w:rPr>
          <w:rFonts w:hint="eastAsia" w:ascii="仿宋_GB2312" w:hAnsi="宋体" w:eastAsia="仿宋_GB2312"/>
          <w:sz w:val="32"/>
          <w:szCs w:val="32"/>
        </w:rPr>
        <w:t>毕业生总体</w:t>
      </w:r>
      <w:r>
        <w:rPr>
          <w:rFonts w:ascii="仿宋_GB2312" w:hAnsi="宋体" w:eastAsia="仿宋_GB2312"/>
          <w:sz w:val="32"/>
          <w:szCs w:val="32"/>
        </w:rPr>
        <w:t>就业率达到9</w:t>
      </w:r>
      <w:r>
        <w:rPr>
          <w:rFonts w:hint="eastAsia" w:ascii="仿宋_GB2312" w:hAnsi="宋体" w:eastAsia="仿宋_GB2312"/>
          <w:sz w:val="32"/>
          <w:szCs w:val="32"/>
        </w:rPr>
        <w:t>7</w:t>
      </w:r>
      <w:r>
        <w:rPr>
          <w:rFonts w:ascii="仿宋_GB2312" w:hAnsi="宋体" w:eastAsia="仿宋_GB2312"/>
          <w:sz w:val="32"/>
          <w:szCs w:val="32"/>
        </w:rPr>
        <w:t>%以上，学生的职业素养、职业技能和可持续发展能力在全省同类院校中位居前列。</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（二）内部管理体制机制目标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w:t>
      </w:r>
      <w:r>
        <w:rPr>
          <w:rFonts w:ascii="仿宋_GB2312" w:hAnsi="宋体" w:eastAsia="仿宋_GB2312"/>
          <w:sz w:val="32"/>
          <w:szCs w:val="32"/>
        </w:rPr>
        <w:t>不断完善学院内部治理结构，落实学院章程，</w:t>
      </w:r>
      <w:r>
        <w:rPr>
          <w:rFonts w:hint="eastAsia" w:ascii="仿宋_GB2312" w:hAnsi="宋体" w:eastAsia="仿宋_GB2312"/>
          <w:sz w:val="32"/>
          <w:szCs w:val="32"/>
        </w:rPr>
        <w:t>推进</w:t>
      </w:r>
      <w:r>
        <w:rPr>
          <w:rFonts w:ascii="仿宋_GB2312" w:hAnsi="宋体" w:eastAsia="仿宋_GB2312"/>
          <w:sz w:val="32"/>
          <w:szCs w:val="32"/>
        </w:rPr>
        <w:t>依法治校</w:t>
      </w:r>
      <w:r>
        <w:rPr>
          <w:rFonts w:hint="eastAsia" w:ascii="仿宋_GB2312" w:hAnsi="宋体" w:eastAsia="仿宋_GB2312"/>
          <w:sz w:val="32"/>
          <w:szCs w:val="32"/>
        </w:rPr>
        <w:t>，规范管理；</w:t>
      </w:r>
      <w:r>
        <w:rPr>
          <w:rFonts w:ascii="仿宋_GB2312" w:hAnsi="宋体" w:eastAsia="仿宋_GB2312"/>
          <w:sz w:val="32"/>
          <w:szCs w:val="32"/>
        </w:rPr>
        <w:t>进一步规范和完善学院各项管理制度、议事规则和决策程序，不断提高学院的管理水平和运行效率;</w:t>
      </w:r>
      <w:r>
        <w:rPr>
          <w:rFonts w:hint="eastAsia" w:ascii="仿宋_GB2312" w:hAnsi="宋体" w:eastAsia="仿宋_GB2312"/>
          <w:sz w:val="32"/>
          <w:szCs w:val="32"/>
        </w:rPr>
        <w:t>创新内部管理体制机制、人事分配制度，建立科学透明决策机制，治理结构不断完善，激活办学活力；健全依法决策机制和重大问题协商机制，建立重大责任追究机制。加强内部机构设置与编制改革，根据国家高校事业编制改革方向，按照“总量控制、规范合理、精减高效”的原则进行学校内部机构设置与编制改革，理顺编制管理体制。加强内部分配制度改革，按照绩效管理改革原则，推进内部分配结构和分配方式改革，激发教职员工积极性。</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2.构建起学院办学内部质量保证体系诊断与改进标准，管理水平大幅提升。推进与学分制相配套的课程开发和教学管理制度改革；推进学院理事会的建设，探索开展校企联合办学新模式。</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建成基于ISO9001国际质量标准的覆盖全院的管理体系；加强制度体系建设，构建科学规范、充满活力的内部管理运行机制；理顺和完善教学、学生、后勤、安全、科研和人事、财务、资产等方面的管理制度、标准，建立健全相应的工作规程，形成规范、科学的内部管理制度体系。</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探索推进院系二级管理体制改革。本着“科学发展、稳步推进”的原则，完善院系二级管理体制改革方案，全面推进二级学院的建设工作，充分发挥二级学院的主体作用，学院管理工作的薄弱环节全面改善，办学活力显著增强。</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（三）专业建设与课程建设目标</w:t>
      </w:r>
    </w:p>
    <w:p>
      <w:pPr>
        <w:spacing w:line="600" w:lineRule="exact"/>
        <w:ind w:firstLine="643" w:firstLineChars="200"/>
        <w:rPr>
          <w:rFonts w:hint="eastAsia" w:ascii="仿宋_GB2312" w:hAnsi="宋体" w:eastAsia="仿宋_GB2312"/>
          <w:sz w:val="32"/>
          <w:szCs w:val="32"/>
        </w:rPr>
      </w:pPr>
      <w:r>
        <w:rPr>
          <w:rFonts w:ascii="仿宋_GB2312" w:hAnsi="宋体" w:eastAsia="仿宋_GB2312"/>
          <w:b/>
          <w:sz w:val="32"/>
          <w:szCs w:val="32"/>
        </w:rPr>
        <w:t>1</w:t>
      </w:r>
      <w:r>
        <w:rPr>
          <w:rFonts w:hint="eastAsia" w:ascii="仿宋_GB2312" w:hAnsi="宋体" w:eastAsia="仿宋_GB2312"/>
          <w:b/>
          <w:sz w:val="32"/>
          <w:szCs w:val="32"/>
        </w:rPr>
        <w:t>.</w:t>
      </w:r>
      <w:r>
        <w:rPr>
          <w:rFonts w:ascii="仿宋_GB2312" w:hAnsi="宋体" w:eastAsia="仿宋_GB2312"/>
          <w:b/>
          <w:sz w:val="32"/>
          <w:szCs w:val="32"/>
        </w:rPr>
        <w:t>专业建设。</w:t>
      </w:r>
      <w:r>
        <w:rPr>
          <w:rFonts w:hint="eastAsia" w:ascii="仿宋_GB2312" w:hAnsi="宋体" w:eastAsia="仿宋_GB2312"/>
          <w:sz w:val="32"/>
          <w:szCs w:val="32"/>
        </w:rPr>
        <w:t>结合自身优势，科学准确定位，紧贴市场、紧贴产业、紧贴职业设置专业，参照《产业结构调整指导目录》，围绕“互联网+”行动、《中国制造2025》等要求，适应新技术、新模式、新业态发展实际，按照技术领域和职业岗位群的技能、能力要求，围绕产业链的发展延伸设置新专业、调整专业结构，逐步形成市场针对性强、结构较为合理、专业群特色和优势比较明显的专业（群）结构，带动全院专业建设水平整体提升。为实现上述目标，应在广泛市场调研的基础上，调整和改造传统专业，积极研究和增设新专业，对于部分省内专业点较多、招生困难、就业不理想、专业群内部关联度不强的专业实行暂停招生；对于目前专业能力指向不明确，培养思路不够清晰的专业进行改造，使之达到培养目标明确、培养模式符合职业教育的要求、毕业生就业有明显提高的要求。根据市场需要，积极稳妥地论证、增设新专业，每年拟新增设2至3个专业或专业方向。</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“十三五”期间，力争建立5个现代学徒制试点专业；着力调整、改造、充实和构建电子商务类专业群、旅游管理专业群、轻工装备专业群、机电一体化专业群、移动互联网专业群、</w:t>
      </w:r>
      <w:r>
        <w:rPr>
          <w:rFonts w:ascii="仿宋_GB2312" w:hAnsi="宋体" w:eastAsia="仿宋_GB2312"/>
          <w:sz w:val="32"/>
          <w:szCs w:val="32"/>
        </w:rPr>
        <w:t>应用外语</w:t>
      </w:r>
      <w:r>
        <w:rPr>
          <w:rFonts w:hint="eastAsia" w:ascii="仿宋_GB2312" w:hAnsi="宋体" w:eastAsia="仿宋_GB2312"/>
          <w:sz w:val="32"/>
          <w:szCs w:val="32"/>
        </w:rPr>
        <w:t>专业群和艺术设计专业群等七大专业群，以对接服务于“汕头华侨经济文化合作试验区”建设；积极开展与汕头传统优势产业、战略新兴产业与</w:t>
      </w:r>
      <w:r>
        <w:rPr>
          <w:rFonts w:ascii="仿宋_GB2312" w:hAnsi="宋体" w:eastAsia="仿宋_GB2312"/>
          <w:sz w:val="32"/>
          <w:szCs w:val="32"/>
        </w:rPr>
        <w:t>现代服务业</w:t>
      </w:r>
      <w:r>
        <w:rPr>
          <w:rFonts w:hint="eastAsia" w:ascii="仿宋_GB2312" w:hAnsi="宋体" w:eastAsia="仿宋_GB2312"/>
          <w:sz w:val="32"/>
          <w:szCs w:val="32"/>
        </w:rPr>
        <w:t>对接的专业开展综合改革试点；建设一批示范性专业，包括机电一体化技术、会计电算化技术、商务英语等6个重点建设专业；建设好建筑工程管理、学前教育和美术教育等12个特色专业；建设2个省级示范性专业、4个省级特色专业、1-2个省级品牌专业。</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同时，</w:t>
      </w:r>
      <w:r>
        <w:rPr>
          <w:rFonts w:ascii="仿宋_GB2312" w:hAnsi="宋体" w:eastAsia="仿宋_GB2312"/>
          <w:sz w:val="32"/>
          <w:szCs w:val="32"/>
        </w:rPr>
        <w:t>以中央财政扶持的生物教育与美术教育专业建设为标准，逐步带动其它师范类专业建设；</w:t>
      </w:r>
      <w:r>
        <w:rPr>
          <w:rFonts w:hint="eastAsia" w:ascii="仿宋_GB2312" w:hAnsi="宋体" w:eastAsia="仿宋_GB2312"/>
          <w:sz w:val="32"/>
          <w:szCs w:val="32"/>
        </w:rPr>
        <w:t>大力发展学前教育，巩固并充分发挥学前教育在粤东乃至全省的优势地位和示范作用；</w:t>
      </w:r>
      <w:r>
        <w:rPr>
          <w:rFonts w:ascii="仿宋_GB2312" w:hAnsi="宋体" w:eastAsia="仿宋_GB2312"/>
          <w:sz w:val="32"/>
          <w:szCs w:val="32"/>
        </w:rPr>
        <w:t>做好师范类专业建设的转型工作，拓宽师范类专业人才就业领域</w:t>
      </w:r>
      <w:r>
        <w:rPr>
          <w:rFonts w:hint="eastAsia" w:ascii="仿宋_GB2312" w:hAnsi="宋体" w:eastAsia="仿宋_GB2312"/>
          <w:sz w:val="32"/>
          <w:szCs w:val="32"/>
        </w:rPr>
        <w:t>。</w:t>
      </w:r>
    </w:p>
    <w:p>
      <w:pPr>
        <w:spacing w:line="600" w:lineRule="exact"/>
        <w:ind w:firstLine="643" w:firstLineChars="200"/>
        <w:rPr>
          <w:rFonts w:hint="eastAsia" w:ascii="仿宋_GB2312" w:hAnsi="宋体" w:eastAsia="仿宋_GB2312"/>
          <w:sz w:val="32"/>
          <w:szCs w:val="32"/>
        </w:rPr>
      </w:pPr>
      <w:r>
        <w:rPr>
          <w:rFonts w:ascii="仿宋_GB2312" w:hAnsi="宋体" w:eastAsia="仿宋_GB2312"/>
          <w:b/>
          <w:sz w:val="32"/>
          <w:szCs w:val="32"/>
        </w:rPr>
        <w:t>2</w:t>
      </w:r>
      <w:r>
        <w:rPr>
          <w:rFonts w:hint="eastAsia" w:ascii="仿宋_GB2312" w:hAnsi="宋体" w:eastAsia="仿宋_GB2312"/>
          <w:b/>
          <w:sz w:val="32"/>
          <w:szCs w:val="32"/>
        </w:rPr>
        <w:t>.</w:t>
      </w:r>
      <w:r>
        <w:rPr>
          <w:rFonts w:ascii="仿宋_GB2312" w:hAnsi="宋体" w:eastAsia="仿宋_GB2312"/>
          <w:b/>
          <w:sz w:val="32"/>
          <w:szCs w:val="32"/>
        </w:rPr>
        <w:t>课程</w:t>
      </w:r>
      <w:r>
        <w:rPr>
          <w:rFonts w:hint="eastAsia" w:ascii="仿宋_GB2312" w:hAnsi="宋体" w:eastAsia="仿宋_GB2312"/>
          <w:b/>
          <w:sz w:val="32"/>
          <w:szCs w:val="32"/>
        </w:rPr>
        <w:t>及教学资源建设。</w:t>
      </w:r>
      <w:r>
        <w:rPr>
          <w:rFonts w:hint="eastAsia" w:ascii="仿宋_GB2312" w:hAnsi="宋体" w:eastAsia="仿宋_GB2312"/>
          <w:sz w:val="32"/>
          <w:szCs w:val="32"/>
        </w:rPr>
        <w:t>以省级示范性高等职业院校建设标准为内涵建设的基本任务，</w:t>
      </w:r>
      <w:r>
        <w:rPr>
          <w:rFonts w:ascii="仿宋_GB2312" w:hAnsi="宋体" w:eastAsia="仿宋_GB2312"/>
          <w:sz w:val="32"/>
          <w:szCs w:val="32"/>
        </w:rPr>
        <w:t>深化专业结构和课程体系改革。</w:t>
      </w:r>
      <w:r>
        <w:rPr>
          <w:rFonts w:hint="eastAsia" w:ascii="仿宋_GB2312" w:hAnsi="宋体" w:eastAsia="仿宋_GB2312"/>
          <w:sz w:val="32"/>
          <w:szCs w:val="32"/>
        </w:rPr>
        <w:t>应用现代信息技术改造传统教学，贯彻“教学内容与职业标准对接、教学过程与工作过程对接”的理念，</w:t>
      </w:r>
      <w:r>
        <w:rPr>
          <w:rFonts w:ascii="仿宋_GB2312" w:hAnsi="宋体" w:eastAsia="仿宋_GB2312"/>
          <w:sz w:val="32"/>
          <w:szCs w:val="32"/>
        </w:rPr>
        <w:t>积极与行业、企业合作，进行基于工作过程的课程开发与设计</w:t>
      </w:r>
      <w:r>
        <w:rPr>
          <w:rFonts w:hint="eastAsia" w:ascii="仿宋_GB2312" w:hAnsi="宋体" w:eastAsia="仿宋_GB2312"/>
          <w:sz w:val="32"/>
          <w:szCs w:val="32"/>
        </w:rPr>
        <w:t>；</w:t>
      </w:r>
      <w:r>
        <w:rPr>
          <w:rFonts w:ascii="仿宋_GB2312" w:hAnsi="宋体" w:eastAsia="仿宋_GB2312"/>
          <w:sz w:val="32"/>
          <w:szCs w:val="32"/>
        </w:rPr>
        <w:t>根据技术领域和职业岗位群的要求，参照相关的职业资格标准，改革课程体系和教学内容</w:t>
      </w:r>
      <w:r>
        <w:rPr>
          <w:rFonts w:hint="eastAsia" w:ascii="仿宋_GB2312" w:hAnsi="宋体" w:eastAsia="仿宋_GB2312"/>
          <w:sz w:val="32"/>
          <w:szCs w:val="32"/>
        </w:rPr>
        <w:t>；按照“能力导向”的理论配置方式，立足特色专业，建立以“工作过程和岗位职业能力为导向”的课程体系；大力开发校企合作的校本特色教材和由行业企业专家参与编写的、具有针对性的、操作性强的实验实训指导书；积极开发主干核心课程优质教学资源，形成具有学院特色的教学资源体系；“十三五”期间，力争建成2</w:t>
      </w:r>
      <w:r>
        <w:rPr>
          <w:rFonts w:ascii="仿宋_GB2312" w:hAnsi="宋体" w:eastAsia="仿宋_GB2312"/>
          <w:sz w:val="32"/>
          <w:szCs w:val="32"/>
        </w:rPr>
        <w:t>-3</w:t>
      </w:r>
      <w:r>
        <w:rPr>
          <w:rFonts w:hint="eastAsia" w:ascii="仿宋_GB2312" w:hAnsi="宋体" w:eastAsia="仿宋_GB2312"/>
          <w:sz w:val="32"/>
          <w:szCs w:val="32"/>
        </w:rPr>
        <w:t>门省级精品资源共享课，</w:t>
      </w:r>
      <w:r>
        <w:rPr>
          <w:rFonts w:ascii="仿宋_GB2312" w:hAnsi="宋体" w:eastAsia="仿宋_GB2312"/>
          <w:sz w:val="32"/>
          <w:szCs w:val="32"/>
        </w:rPr>
        <w:t>1-2</w:t>
      </w:r>
      <w:r>
        <w:rPr>
          <w:rFonts w:hint="eastAsia" w:ascii="仿宋_GB2312" w:hAnsi="宋体" w:eastAsia="仿宋_GB2312"/>
          <w:sz w:val="32"/>
          <w:szCs w:val="32"/>
        </w:rPr>
        <w:t>门工学结合的优质核心课程，20门以上院级精品课程和2门以上的院级课程教学资源库；通过“创新强校工程”项目建设的辐射和带动，积累课程及教材建设经验，推动学院各专业课程建设；覆盖并初步完成全院70%左右的专业“工学结合”人才培养方案和课程体系、60%左右的专业课程及综合性实践课程建设与改革，为所有专业基本实现“任务驱动”、“项目引领”、“情景导向”、“工作过程系统化”等高职教育教学方式，提高人才培养质量奠定基础。</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3.教学改革。</w:t>
      </w:r>
      <w:r>
        <w:rPr>
          <w:rFonts w:hint="eastAsia" w:ascii="仿宋_GB2312" w:hAnsi="宋体" w:eastAsia="仿宋_GB2312"/>
          <w:sz w:val="32"/>
          <w:szCs w:val="32"/>
        </w:rPr>
        <w:t xml:space="preserve">在现有的“2.5+0.5”模式上，逐步推进实现“2+1”（即2年进行基本理论教学和能力训练，1年进行顶岗实训）的教学组织形式；改良现有专业人才培养模式，积极推行与生产劳动和社会实践相结合的学习模式，把工学结合作为专业人才培养模式改革的重点和切入点，注重学生学习与实际工作的一致性，学习环境与实际工作环境的一致性；探索“现代学徒制”、“双主体办学”及理实一体化人才培养模式；积极探索和综合运用订单培养、工学交替、任务驱动、项目导向、顶岗实习等各种有利于增强学生实际能力的有效模式；根据企业生产的要求和专业教学的特点，将教学活动与企业的生产过程紧密结合，试行多学期、分段式教学组织形式，以适应企业内部运行和学生能力训练的需要；吸纳行业、企业参与专业人才培养与评价，将毕业生就业率、就业质量、创业成效和企业满意度等作为衡量人才培养质量的重要指标。 </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（四）师资队伍与干部队伍建设目标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建设一支具有国际化视野、实力较强、结构合理、团结协作的师资队伍。到2020年底，学院将打造起5支重点专业教师团队，建设起1个教师发展平台，搭建起1个学业指导教师网络工作平台，硕士以上学位的教师提升至55%，博士学位的教师提升至5%，副高以上职称的教师提升至35%，拥有博士15名，正高职称的教师15名；重点专业和新增专业的师资配备问题得以解决，各专业均具备1-2名专业带头人和3-5名骨干教师，双师型教师比例达到70%（重点专业达到90%以上）；各专业的教师专业梯队初具规模；学业指导教师制得以实现，促进教师专业发展、激发教师队伍活力、适应教育现代化发展的教师管理制度体系得以建立。</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创新人事管理制度，完善干部队伍选拔与配备工作，建设一支“政治坚定、业务熟练、创新务实、勤政廉洁、结构合理、精简高效”的管理干部队伍。到2020年底，配备更全，</w:t>
      </w:r>
      <w:r>
        <w:rPr>
          <w:rFonts w:ascii="仿宋_GB2312" w:hAnsi="宋体" w:eastAsia="仿宋_GB2312"/>
          <w:sz w:val="32"/>
          <w:szCs w:val="32"/>
        </w:rPr>
        <w:t>结构更加合理，专业化水平明显提高，</w:t>
      </w:r>
      <w:r>
        <w:rPr>
          <w:rFonts w:hint="eastAsia" w:ascii="仿宋_GB2312" w:hAnsi="宋体" w:eastAsia="仿宋_GB2312"/>
          <w:sz w:val="32"/>
          <w:szCs w:val="32"/>
        </w:rPr>
        <w:t>视野更开阔，执行力更强；总体缺位率降至10%以下，</w:t>
      </w:r>
      <w:r>
        <w:rPr>
          <w:rFonts w:ascii="仿宋_GB2312" w:hAnsi="宋体" w:eastAsia="仿宋_GB2312"/>
          <w:sz w:val="32"/>
          <w:szCs w:val="32"/>
        </w:rPr>
        <w:t>具有大学本科及以上学历的干部</w:t>
      </w:r>
      <w:r>
        <w:rPr>
          <w:rFonts w:hint="eastAsia" w:ascii="仿宋_GB2312" w:hAnsi="宋体" w:eastAsia="仿宋_GB2312"/>
          <w:sz w:val="32"/>
          <w:szCs w:val="32"/>
        </w:rPr>
        <w:t>比例提升至</w:t>
      </w:r>
      <w:r>
        <w:rPr>
          <w:rFonts w:ascii="仿宋_GB2312" w:hAnsi="宋体" w:eastAsia="仿宋_GB2312"/>
          <w:sz w:val="32"/>
          <w:szCs w:val="32"/>
        </w:rPr>
        <w:t>85%</w:t>
      </w:r>
      <w:r>
        <w:rPr>
          <w:rFonts w:hint="eastAsia" w:ascii="仿宋_GB2312" w:hAnsi="宋体" w:eastAsia="仿宋_GB2312"/>
          <w:sz w:val="32"/>
          <w:szCs w:val="32"/>
        </w:rPr>
        <w:t>；教学、教务、科研部门领导干部职称应为副高以上，40岁以下</w:t>
      </w:r>
      <w:r>
        <w:rPr>
          <w:rFonts w:ascii="仿宋_GB2312" w:hAnsi="宋体" w:eastAsia="仿宋_GB2312"/>
          <w:sz w:val="32"/>
          <w:szCs w:val="32"/>
        </w:rPr>
        <w:t>的干部</w:t>
      </w:r>
      <w:r>
        <w:rPr>
          <w:rFonts w:hint="eastAsia" w:ascii="仿宋_GB2312" w:hAnsi="宋体" w:eastAsia="仿宋_GB2312"/>
          <w:sz w:val="32"/>
          <w:szCs w:val="32"/>
        </w:rPr>
        <w:t>比例提升至30%以上；年度干部调训率和参训率均达到100%，</w:t>
      </w:r>
      <w:r>
        <w:rPr>
          <w:rFonts w:ascii="仿宋_GB2312" w:hAnsi="宋体" w:eastAsia="仿宋_GB2312"/>
          <w:sz w:val="32"/>
          <w:szCs w:val="32"/>
        </w:rPr>
        <w:t>以职责管理为中心</w:t>
      </w:r>
      <w:r>
        <w:rPr>
          <w:rFonts w:hint="eastAsia" w:ascii="仿宋_GB2312" w:hAnsi="宋体" w:eastAsia="仿宋_GB2312"/>
          <w:sz w:val="32"/>
          <w:szCs w:val="32"/>
        </w:rPr>
        <w:t>的干部管理制度体系得以建立。</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（五）实践教学建设目标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推进校企人才培养模式改革，</w:t>
      </w:r>
      <w:r>
        <w:rPr>
          <w:rFonts w:ascii="仿宋_GB2312" w:hAnsi="宋体" w:eastAsia="仿宋_GB2312"/>
          <w:sz w:val="32"/>
          <w:szCs w:val="32"/>
        </w:rPr>
        <w:t>探索校企合作实训基地建设与运行的长效机制</w:t>
      </w:r>
      <w:r>
        <w:rPr>
          <w:rFonts w:hint="eastAsia" w:ascii="仿宋_GB2312" w:hAnsi="宋体" w:eastAsia="仿宋_GB2312"/>
          <w:sz w:val="32"/>
          <w:szCs w:val="32"/>
        </w:rPr>
        <w:t>，探索校企合作“校中厂”、“厂中校”校内外实训基地建设的模式与机制</w:t>
      </w:r>
      <w:r>
        <w:rPr>
          <w:rFonts w:ascii="仿宋_GB2312" w:hAnsi="宋体" w:eastAsia="仿宋_GB2312"/>
          <w:sz w:val="32"/>
          <w:szCs w:val="32"/>
        </w:rPr>
        <w:t>;</w:t>
      </w:r>
      <w:r>
        <w:rPr>
          <w:rFonts w:hint="eastAsia" w:ascii="仿宋_GB2312" w:hAnsi="宋体" w:eastAsia="仿宋_GB2312"/>
          <w:sz w:val="32"/>
          <w:szCs w:val="32"/>
        </w:rPr>
        <w:t>改善优化实践教学课程设置，</w:t>
      </w:r>
      <w:r>
        <w:rPr>
          <w:rFonts w:ascii="仿宋_GB2312" w:hAnsi="宋体" w:eastAsia="仿宋_GB2312"/>
          <w:sz w:val="32"/>
          <w:szCs w:val="32"/>
        </w:rPr>
        <w:t>加强公共基础课和专业课实践性教学，实践性教学课时占总课时数一半以上;</w:t>
      </w:r>
      <w:r>
        <w:rPr>
          <w:rFonts w:hint="eastAsia" w:ascii="仿宋_GB2312" w:hAnsi="宋体" w:eastAsia="仿宋_GB2312"/>
          <w:sz w:val="32"/>
          <w:szCs w:val="32"/>
        </w:rPr>
        <w:t>完善实训体系，优化实训资源配置，进一步调整校内实训基地结构布局，</w:t>
      </w:r>
      <w:r>
        <w:rPr>
          <w:rFonts w:ascii="仿宋_GB2312" w:hAnsi="宋体" w:eastAsia="仿宋_GB2312"/>
          <w:sz w:val="32"/>
          <w:szCs w:val="32"/>
        </w:rPr>
        <w:t>建立开放式校内实验实训管理平台，实现实训资源开放共享</w:t>
      </w:r>
      <w:r>
        <w:rPr>
          <w:rFonts w:hint="eastAsia" w:ascii="仿宋_GB2312" w:hAnsi="宋体" w:eastAsia="仿宋_GB2312"/>
          <w:sz w:val="32"/>
          <w:szCs w:val="32"/>
        </w:rPr>
        <w:t>；加强校内、外实训基地建设，深入推进“双证书”制度；进一步规范与师范类教育实习基地的合作机制；强化实习实训考核评价，完善系部实习实训管理考核评价；开拓多种形式职业技能大赛，增强社会服务能力，确保实践教学的管理水平大幅度提高；加大投入建设教学、培训、技能鉴定、技术研发与服务功能为一体的职业技能实习培训基地建设，积极推动高职教育资源共享和工学紧密结合。到“十三五”末，建成“网络营销实训室”、“建筑工程施工仿真与BIM实训室”、“商务礼仪实训基地”等共33个校内实训基地建设；建设好34个重点校外实训基地，实现校内外实践教学资源的整合和共享，为培养学生的专业技能和岗位能力提供良好的平台。毕业生的“双证书”获取率达85%以上，部分重点专业达90%以上；新增申报设立8个国家、省级的有关职业技能鉴定（站）所，新增开考“全国跨境电商考试”等职业资格证书24种；积极探索校企合作人才培养新机制，力争建成1个省级校企合作示范基地。</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（六）校企合作机制建设目标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积极创建校企合作体制机制，</w:t>
      </w:r>
      <w:r>
        <w:rPr>
          <w:rFonts w:ascii="仿宋_GB2312" w:hAnsi="宋体" w:eastAsia="仿宋_GB2312"/>
          <w:sz w:val="32"/>
          <w:szCs w:val="32"/>
        </w:rPr>
        <w:t>探索</w:t>
      </w:r>
      <w:r>
        <w:rPr>
          <w:rFonts w:hint="eastAsia" w:ascii="仿宋_GB2312" w:hAnsi="宋体" w:eastAsia="仿宋_GB2312"/>
          <w:sz w:val="32"/>
          <w:szCs w:val="32"/>
        </w:rPr>
        <w:t>学</w:t>
      </w:r>
      <w:r>
        <w:rPr>
          <w:rFonts w:ascii="仿宋_GB2312" w:hAnsi="宋体" w:eastAsia="仿宋_GB2312"/>
          <w:sz w:val="32"/>
          <w:szCs w:val="32"/>
        </w:rPr>
        <w:t>校理事会指导下的校企合作运行机制</w:t>
      </w:r>
      <w:r>
        <w:rPr>
          <w:rFonts w:hint="eastAsia" w:ascii="仿宋_GB2312" w:hAnsi="宋体" w:eastAsia="仿宋_GB2312"/>
          <w:sz w:val="32"/>
          <w:szCs w:val="32"/>
        </w:rPr>
        <w:t>；</w:t>
      </w:r>
      <w:r>
        <w:rPr>
          <w:rFonts w:ascii="仿宋_GB2312" w:hAnsi="宋体" w:eastAsia="仿宋_GB2312"/>
          <w:sz w:val="32"/>
          <w:szCs w:val="32"/>
        </w:rPr>
        <w:t>发挥理事会在学院发展战略规划、人才培养、科研产业等方面的咨询、指导作用;积极吸收行业专家进入学术委员会和专业建设指导委员会，在专业设置评议、人才培养方案制订、专业建设、教师队伍建设、质量评价等方面主动接受行业指导;鼓励教师积极参加各级行业组织</w:t>
      </w:r>
      <w:r>
        <w:rPr>
          <w:rFonts w:hint="eastAsia" w:ascii="仿宋_GB2312" w:hAnsi="宋体" w:eastAsia="仿宋_GB2312"/>
          <w:sz w:val="32"/>
          <w:szCs w:val="32"/>
        </w:rPr>
        <w:t>；加强学院、企业、政府合作力度，初步构建三方联动育人框架，探索人才共育、过程共管、成果共享、责任共担的育人机制；</w:t>
      </w:r>
      <w:r>
        <w:rPr>
          <w:rFonts w:ascii="仿宋_GB2312" w:hAnsi="宋体" w:eastAsia="仿宋_GB2312"/>
          <w:sz w:val="32"/>
          <w:szCs w:val="32"/>
        </w:rPr>
        <w:t>推动校企共建校内外生产性实训基地、技术服务和创业教育实践平台等;积极推动现代学徒制试点</w:t>
      </w:r>
      <w:r>
        <w:rPr>
          <w:rFonts w:hint="eastAsia" w:ascii="仿宋_GB2312" w:hAnsi="宋体" w:eastAsia="仿宋_GB2312"/>
          <w:sz w:val="32"/>
          <w:szCs w:val="32"/>
        </w:rPr>
        <w:t>；在专业建设、课程建设、团队建设、实践教学、能力评价、招生就业、学生管理及发展规范等方面进行校企合作探索，不断丰富校企合作的内容和形式，逐步启动合作共建和动态调整的专业建设机制、校企合作基地建设机制、专兼结合教学团队建设机制等。到2020年，使70%左右的专业都初步建立起有效支撑人才培养、各具特色、充满生机和活力的校企合作体制机制。</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（七）科技创新与社会服务建设目标</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1.科研创新。</w:t>
      </w:r>
      <w:r>
        <w:rPr>
          <w:rFonts w:hint="eastAsia" w:ascii="仿宋_GB2312" w:hAnsi="宋体" w:eastAsia="仿宋_GB2312"/>
          <w:sz w:val="32"/>
          <w:szCs w:val="32"/>
        </w:rPr>
        <w:t>围绕学院内涵建设及高素质、高技术、高技能人才培养的要求，贯彻落实</w:t>
      </w:r>
      <w:r>
        <w:rPr>
          <w:rFonts w:hint="eastAsia" w:ascii="仿宋_GB2312" w:hAnsi="仿宋" w:eastAsia="仿宋_GB2312"/>
          <w:sz w:val="32"/>
          <w:szCs w:val="32"/>
        </w:rPr>
        <w:t>《</w:t>
      </w:r>
      <w:r>
        <w:rPr>
          <w:rFonts w:hint="eastAsia" w:ascii="仿宋_GB2312" w:hAnsi="仿宋" w:eastAsia="仿宋_GB2312" w:cs="宋体"/>
          <w:bCs/>
          <w:kern w:val="0"/>
          <w:sz w:val="32"/>
          <w:szCs w:val="32"/>
        </w:rPr>
        <w:t>中共中央国务院关于深化体制机制改革加快实施创新驱动发展战略的若干意见</w:t>
      </w:r>
      <w:r>
        <w:rPr>
          <w:rFonts w:hint="eastAsia" w:ascii="仿宋_GB2312" w:hAnsi="仿宋" w:eastAsia="仿宋_GB2312"/>
          <w:sz w:val="32"/>
          <w:szCs w:val="32"/>
        </w:rPr>
        <w:t>》、《国家创新驱动发展战略纲要》、</w:t>
      </w:r>
      <w:r>
        <w:rPr>
          <w:rFonts w:hint="eastAsia" w:ascii="仿宋_GB2312" w:hAnsi="仿宋" w:eastAsia="仿宋_GB2312" w:cs="Arial"/>
          <w:kern w:val="0"/>
          <w:sz w:val="32"/>
          <w:szCs w:val="32"/>
        </w:rPr>
        <w:t>《国家中长期科学和技术发展规划纲要(2006—2020年)》和</w:t>
      </w:r>
      <w:r>
        <w:rPr>
          <w:rFonts w:hint="eastAsia" w:ascii="仿宋_GB2312" w:hAnsi="宋体" w:eastAsia="仿宋_GB2312"/>
          <w:sz w:val="32"/>
          <w:szCs w:val="32"/>
        </w:rPr>
        <w:t>《“十三五”国家科技创新规划》（</w:t>
      </w:r>
      <w:r>
        <w:rPr>
          <w:rFonts w:hint="eastAsia" w:ascii="仿宋_GB2312" w:hAnsi="仿宋" w:eastAsia="仿宋_GB2312" w:cs="Arial"/>
          <w:sz w:val="32"/>
          <w:szCs w:val="32"/>
        </w:rPr>
        <w:t>国发〔2016〕43号</w:t>
      </w:r>
      <w:r>
        <w:rPr>
          <w:rFonts w:hint="eastAsia" w:ascii="仿宋_GB2312" w:hAnsi="宋体" w:eastAsia="仿宋_GB2312"/>
          <w:sz w:val="32"/>
          <w:szCs w:val="32"/>
        </w:rPr>
        <w:t>）以及</w:t>
      </w:r>
      <w:r>
        <w:rPr>
          <w:rFonts w:hint="eastAsia" w:ascii="仿宋_GB2312" w:hAnsi="仿宋" w:eastAsia="仿宋_GB2312"/>
          <w:sz w:val="32"/>
          <w:szCs w:val="32"/>
        </w:rPr>
        <w:t>《</w:t>
      </w:r>
      <w:r>
        <w:rPr>
          <w:rStyle w:val="21"/>
          <w:rFonts w:hint="eastAsia" w:ascii="仿宋_GB2312" w:hAnsi="仿宋" w:eastAsia="仿宋_GB2312" w:cs="Arial"/>
          <w:b w:val="0"/>
          <w:sz w:val="32"/>
          <w:szCs w:val="32"/>
        </w:rPr>
        <w:t>广东省人民政府关于加快科技创新的若干政策意见》（粤府</w:t>
      </w:r>
      <w:r>
        <w:rPr>
          <w:rFonts w:hint="eastAsia" w:ascii="仿宋_GB2312" w:hAnsi="仿宋" w:eastAsia="仿宋_GB2312" w:cs="Arial"/>
          <w:sz w:val="32"/>
          <w:szCs w:val="32"/>
        </w:rPr>
        <w:t>〔2015〕</w:t>
      </w:r>
      <w:r>
        <w:rPr>
          <w:rStyle w:val="21"/>
          <w:rFonts w:hint="eastAsia" w:ascii="仿宋_GB2312" w:hAnsi="仿宋" w:eastAsia="仿宋_GB2312" w:cs="Arial"/>
          <w:b w:val="0"/>
          <w:sz w:val="32"/>
          <w:szCs w:val="32"/>
        </w:rPr>
        <w:t>1号）、《广东省自主创新促进条例》（修订）和《</w:t>
      </w:r>
      <w:r>
        <w:rPr>
          <w:rFonts w:hint="eastAsia" w:ascii="仿宋_GB2312" w:hAnsi="仿宋" w:eastAsia="仿宋_GB2312"/>
          <w:bCs/>
          <w:sz w:val="32"/>
          <w:szCs w:val="32"/>
        </w:rPr>
        <w:t>广东省人民政府办公厅关于深化高校科研体制机制改革的实施意见》</w:t>
      </w:r>
      <w:r>
        <w:rPr>
          <w:rStyle w:val="21"/>
          <w:rFonts w:hint="eastAsia" w:ascii="仿宋_GB2312" w:hAnsi="仿宋" w:eastAsia="仿宋_GB2312" w:cs="Arial"/>
          <w:b w:val="0"/>
          <w:sz w:val="32"/>
          <w:szCs w:val="32"/>
        </w:rPr>
        <w:t>（粤府办</w:t>
      </w:r>
      <w:r>
        <w:rPr>
          <w:rFonts w:hint="eastAsia" w:ascii="仿宋_GB2312" w:hAnsi="仿宋" w:eastAsia="仿宋_GB2312" w:cs="Arial"/>
          <w:sz w:val="32"/>
          <w:szCs w:val="32"/>
        </w:rPr>
        <w:t>〔2015〕</w:t>
      </w:r>
      <w:r>
        <w:rPr>
          <w:rStyle w:val="21"/>
          <w:rFonts w:hint="eastAsia" w:ascii="仿宋_GB2312" w:hAnsi="仿宋" w:eastAsia="仿宋_GB2312" w:cs="Arial"/>
          <w:b w:val="0"/>
          <w:sz w:val="32"/>
          <w:szCs w:val="32"/>
        </w:rPr>
        <w:t>58号）</w:t>
      </w:r>
      <w:r>
        <w:rPr>
          <w:rFonts w:hint="eastAsia" w:ascii="仿宋_GB2312" w:hAnsi="仿宋" w:eastAsia="仿宋_GB2312"/>
          <w:bCs/>
          <w:sz w:val="32"/>
          <w:szCs w:val="32"/>
        </w:rPr>
        <w:t>等文件精神</w:t>
      </w:r>
      <w:r>
        <w:rPr>
          <w:rStyle w:val="21"/>
          <w:rFonts w:hint="eastAsia" w:ascii="仿宋_GB2312" w:hAnsi="仿宋" w:eastAsia="仿宋_GB2312" w:cs="Arial"/>
          <w:b w:val="0"/>
          <w:sz w:val="32"/>
          <w:szCs w:val="32"/>
        </w:rPr>
        <w:t>，以服务于汕头市建设粤东科教创新中心和学院“创新强校工程”建设为抓手，建立健</w:t>
      </w:r>
      <w:r>
        <w:rPr>
          <w:rFonts w:hint="eastAsia" w:ascii="仿宋_GB2312" w:hAnsi="宋体" w:eastAsia="仿宋_GB2312"/>
          <w:sz w:val="32"/>
          <w:szCs w:val="32"/>
        </w:rPr>
        <w:t>全科研管理制度，创新科研体制机制，</w:t>
      </w:r>
      <w:r>
        <w:rPr>
          <w:rFonts w:hint="eastAsia" w:ascii="仿宋_GB2312" w:eastAsia="仿宋_GB2312"/>
          <w:sz w:val="32"/>
          <w:szCs w:val="32"/>
        </w:rPr>
        <w:t>以“扩大科研规模，提高科研总量，提升科研层次，增强科研实力”为主线，在组建科研团队、构筑科研基地、培育优势学科、精细组织管理等方面狠下功夫，努力</w:t>
      </w:r>
      <w:r>
        <w:rPr>
          <w:rFonts w:hint="eastAsia" w:ascii="仿宋_GB2312" w:eastAsia="仿宋_GB2312" w:cs="宋体"/>
          <w:sz w:val="32"/>
          <w:szCs w:val="32"/>
        </w:rPr>
        <w:t>实现纵向科研项目立项数量的大幅度增加和层次的逐步提升，科研管理精耕细作，科研力量发掘与平台建设向纵深发展；</w:t>
      </w:r>
      <w:r>
        <w:rPr>
          <w:rFonts w:hint="eastAsia" w:ascii="仿宋_GB2312" w:hAnsi="宋体" w:eastAsia="仿宋_GB2312"/>
          <w:sz w:val="32"/>
          <w:szCs w:val="32"/>
        </w:rPr>
        <w:t>加大科研经费投入力度，改善科研基础条件，进一步提升教师的科研意识、科研水平和创新能力，激励教师多出成果、出好成果；强化优势学科研究领域，逐步推进各学科的基础研究、应用基础研究和应用技术研究，结合高职教育发展的态势和任务，积极开展教育教学改革研究，以科研促教学，着力打造一支教学与科研相结合的科研队伍，全力服务于学院的“创新强校工程”建设；进一步深化政、校、行、企的科研合作模式，大力推进产学研合作，形成一批高水平研究成果；完善科研评价奖励体系，创造条件建立科研工作考核机制，加强学术交流，支持教师开展国内外学术交流活动，切实提高教师的科研水平。“十三五”期间，全院教职工公开发表论文争取达到800篇左右，在核心期刊以上发表的论文力争每年以</w:t>
      </w:r>
      <w:r>
        <w:rPr>
          <w:rFonts w:ascii="仿宋_GB2312" w:hAnsi="宋体" w:eastAsia="仿宋_GB2312"/>
          <w:sz w:val="32"/>
          <w:szCs w:val="32"/>
        </w:rPr>
        <w:t>10</w:t>
      </w:r>
      <w:r>
        <w:rPr>
          <w:rFonts w:hint="eastAsia" w:ascii="仿宋_GB2312" w:hAnsi="宋体" w:eastAsia="仿宋_GB2312"/>
          <w:sz w:val="32"/>
          <w:szCs w:val="32"/>
        </w:rPr>
        <w:t>－</w:t>
      </w:r>
      <w:r>
        <w:rPr>
          <w:rFonts w:ascii="仿宋_GB2312" w:hAnsi="宋体" w:eastAsia="仿宋_GB2312"/>
          <w:sz w:val="32"/>
          <w:szCs w:val="32"/>
        </w:rPr>
        <w:t>15%</w:t>
      </w:r>
      <w:r>
        <w:rPr>
          <w:rFonts w:hint="eastAsia" w:ascii="仿宋_GB2312" w:hAnsi="宋体" w:eastAsia="仿宋_GB2312"/>
          <w:sz w:val="32"/>
          <w:szCs w:val="32"/>
        </w:rPr>
        <w:t>的速度增长，出版科研著作5部以上，取得市厅级以上科研成果奖15项以上，取得省部级以上科研成果奖1-2项；科研项目申报质量逐步提升，科研立项率力争以年均</w:t>
      </w:r>
      <w:r>
        <w:rPr>
          <w:rFonts w:ascii="仿宋_GB2312" w:hAnsi="宋体" w:eastAsia="仿宋_GB2312"/>
          <w:sz w:val="32"/>
          <w:szCs w:val="32"/>
        </w:rPr>
        <w:t>10%</w:t>
      </w:r>
      <w:r>
        <w:rPr>
          <w:rFonts w:hint="eastAsia" w:ascii="仿宋_GB2312" w:hAnsi="宋体" w:eastAsia="仿宋_GB2312"/>
          <w:sz w:val="32"/>
          <w:szCs w:val="32"/>
        </w:rPr>
        <w:t>的速度增长，力争获得国家级科研立项数至少</w:t>
      </w:r>
      <w:r>
        <w:rPr>
          <w:rFonts w:ascii="仿宋_GB2312" w:hAnsi="宋体" w:eastAsia="仿宋_GB2312"/>
          <w:sz w:val="32"/>
          <w:szCs w:val="32"/>
        </w:rPr>
        <w:t>1</w:t>
      </w:r>
      <w:r>
        <w:rPr>
          <w:rFonts w:hint="eastAsia" w:ascii="仿宋_GB2312" w:hAnsi="宋体" w:eastAsia="仿宋_GB2312"/>
          <w:sz w:val="32"/>
          <w:szCs w:val="32"/>
        </w:rPr>
        <w:t>项，省部级科研立项数</w:t>
      </w:r>
      <w:r>
        <w:rPr>
          <w:rFonts w:ascii="仿宋_GB2312" w:hAnsi="宋体" w:eastAsia="仿宋_GB2312"/>
          <w:sz w:val="32"/>
          <w:szCs w:val="32"/>
        </w:rPr>
        <w:t>6</w:t>
      </w:r>
      <w:r>
        <w:rPr>
          <w:rFonts w:hint="eastAsia" w:ascii="仿宋_GB2312" w:hAnsi="宋体" w:eastAsia="仿宋_GB2312"/>
          <w:sz w:val="32"/>
          <w:szCs w:val="32"/>
        </w:rPr>
        <w:t>项，市级课题80项，院级课题150项，横向课题20项。科研促进教学的效果逐步显现。</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2.科技开发。</w:t>
      </w:r>
      <w:r>
        <w:rPr>
          <w:rFonts w:hint="eastAsia" w:ascii="仿宋_GB2312" w:hAnsi="宋体" w:eastAsia="仿宋_GB2312"/>
          <w:sz w:val="32"/>
          <w:szCs w:val="32"/>
        </w:rPr>
        <w:t>大力发挥学院服务地方经济文化建设的职能，贯彻落实《汕头职业技术学院、汕头市科学技术局关于加强科技创新合作的备忘录》，在</w:t>
      </w:r>
      <w:r>
        <w:rPr>
          <w:rFonts w:hint="eastAsia" w:ascii="仿宋_GB2312" w:eastAsia="仿宋_GB2312" w:cs="宋体"/>
          <w:sz w:val="32"/>
          <w:szCs w:val="32"/>
        </w:rPr>
        <w:t>科技协同创新、科技平台建设、科研团队建设、技术成果转化等方面上一个新台阶。“</w:t>
      </w:r>
      <w:r>
        <w:rPr>
          <w:rFonts w:hint="eastAsia" w:ascii="仿宋_GB2312" w:hAnsi="宋体" w:eastAsia="仿宋_GB2312" w:cs="宋体"/>
          <w:sz w:val="32"/>
          <w:szCs w:val="32"/>
        </w:rPr>
        <w:t>十三五</w:t>
      </w:r>
      <w:r>
        <w:rPr>
          <w:rFonts w:hint="eastAsia" w:ascii="仿宋_GB2312" w:eastAsia="仿宋_GB2312" w:cs="宋体"/>
          <w:sz w:val="32"/>
          <w:szCs w:val="32"/>
        </w:rPr>
        <w:t>”期间，在市科技局的支持下，</w:t>
      </w:r>
      <w:r>
        <w:rPr>
          <w:rFonts w:hint="eastAsia" w:ascii="仿宋_GB2312" w:hAnsi="宋体" w:eastAsia="仿宋_GB2312" w:cs="宋体"/>
          <w:sz w:val="32"/>
          <w:szCs w:val="32"/>
        </w:rPr>
        <w:t>建设好3-4个市级工程技术研究中心和华侨经济文化研究院（中心），在此基础上择优建设1-2个省级工程技术研究中心、“创新强校工程”自主创新能力建设类项目全面得到市科技计划专项资金的资助，创造条件承办或协办汕头创新论坛和粤东地区创新创业大赛、与国内高校（科研院所）以及相关政府部门组建1-2个协同创新中心等，大力推动实施一批重点合作项目</w:t>
      </w:r>
      <w:r>
        <w:rPr>
          <w:rFonts w:hint="eastAsia" w:ascii="仿宋_GB2312" w:hAnsi="宋体" w:eastAsia="仿宋_GB2312"/>
          <w:sz w:val="32"/>
          <w:szCs w:val="32"/>
        </w:rPr>
        <w:t>；加强产学研用合作，更好地为区域经济建设和社会发展服务；积极推进技术开发和专利申请工作，</w:t>
      </w:r>
      <w:r>
        <w:rPr>
          <w:rFonts w:hint="eastAsia" w:ascii="仿宋_GB2312" w:eastAsia="仿宋_GB2312" w:cs="宋体"/>
          <w:sz w:val="32"/>
          <w:szCs w:val="32"/>
        </w:rPr>
        <w:t>“</w:t>
      </w:r>
      <w:r>
        <w:rPr>
          <w:rFonts w:hint="eastAsia" w:ascii="仿宋_GB2312" w:hAnsi="宋体" w:eastAsia="仿宋_GB2312" w:cs="宋体"/>
          <w:sz w:val="32"/>
          <w:szCs w:val="32"/>
        </w:rPr>
        <w:t>十三五</w:t>
      </w:r>
      <w:r>
        <w:rPr>
          <w:rFonts w:hint="eastAsia" w:ascii="仿宋_GB2312" w:eastAsia="仿宋_GB2312" w:cs="宋体"/>
          <w:sz w:val="32"/>
          <w:szCs w:val="32"/>
        </w:rPr>
        <w:t>”期间，国家发明专利和实用新型专利等授权数量力争达到15件以上。</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3.社会服务。</w:t>
      </w:r>
      <w:r>
        <w:rPr>
          <w:rFonts w:ascii="仿宋_GB2312" w:hAnsi="宋体" w:eastAsia="仿宋_GB2312"/>
          <w:sz w:val="32"/>
          <w:szCs w:val="32"/>
        </w:rPr>
        <w:t>充分</w:t>
      </w:r>
      <w:r>
        <w:rPr>
          <w:rFonts w:hint="eastAsia" w:ascii="仿宋_GB2312" w:hAnsi="宋体" w:eastAsia="仿宋_GB2312"/>
          <w:sz w:val="32"/>
          <w:szCs w:val="32"/>
        </w:rPr>
        <w:t>发挥学院</w:t>
      </w:r>
      <w:r>
        <w:rPr>
          <w:rFonts w:ascii="仿宋_GB2312" w:hAnsi="宋体" w:eastAsia="仿宋_GB2312"/>
          <w:sz w:val="32"/>
          <w:szCs w:val="32"/>
        </w:rPr>
        <w:t>在教育、人才智力等方面的优势，依托“广东省幼儿园园长培训省级基地”、“广东省幼儿园教师培训省级基地”</w:t>
      </w:r>
      <w:r>
        <w:rPr>
          <w:rFonts w:hint="eastAsia" w:ascii="仿宋_GB2312" w:hAnsi="宋体" w:eastAsia="仿宋_GB2312"/>
          <w:sz w:val="32"/>
          <w:szCs w:val="32"/>
        </w:rPr>
        <w:t>、</w:t>
      </w:r>
      <w:r>
        <w:rPr>
          <w:rFonts w:ascii="仿宋_GB2312" w:hAnsi="宋体" w:eastAsia="仿宋_GB2312"/>
          <w:sz w:val="32"/>
          <w:szCs w:val="32"/>
        </w:rPr>
        <w:t>“汕头市专业技术人员继续教育培训基地”、“汕头市中小学教师继续教育中心”等功能，</w:t>
      </w:r>
      <w:r>
        <w:rPr>
          <w:rFonts w:hint="eastAsia" w:ascii="仿宋_GB2312" w:hAnsi="宋体" w:eastAsia="仿宋_GB2312"/>
          <w:sz w:val="32"/>
          <w:szCs w:val="32"/>
        </w:rPr>
        <w:t>加大汕头市教育系统专业技术人员继续教育的投入力度，“十三五”期间，学院为汕头市教育系统承担教师继续教育培训的数量达到每年30000人次以上；挖掘高职教育类专业教师的潜力，为汕头市的传统优势产业、战略性新兴产业和现代服务业等各类企业的专业技术人员和技术工人提供继续教育和培训服务，力争每年10000人次以上。进一步发挥我院服务地方经济文化建设的职能，提高社会服务能力。</w:t>
      </w:r>
    </w:p>
    <w:p>
      <w:pPr>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（八）</w:t>
      </w:r>
      <w:r>
        <w:rPr>
          <w:rFonts w:ascii="仿宋_GB2312" w:hAnsi="宋体" w:eastAsia="仿宋_GB2312"/>
          <w:b/>
          <w:sz w:val="32"/>
          <w:szCs w:val="32"/>
        </w:rPr>
        <w:t>招生就业目标</w:t>
      </w:r>
    </w:p>
    <w:p>
      <w:pPr>
        <w:spacing w:line="600" w:lineRule="exact"/>
        <w:ind w:firstLine="640" w:firstLineChars="200"/>
        <w:rPr>
          <w:rFonts w:hint="eastAsia" w:ascii="仿宋_GB2312" w:hAnsi="宋体" w:eastAsia="仿宋_GB2312"/>
          <w:sz w:val="32"/>
          <w:szCs w:val="32"/>
        </w:rPr>
      </w:pPr>
      <w:r>
        <w:rPr>
          <w:rFonts w:ascii="仿宋_GB2312" w:hAnsi="宋体" w:eastAsia="仿宋_GB2312"/>
          <w:sz w:val="32"/>
          <w:szCs w:val="32"/>
        </w:rPr>
        <w:t>1.加强招生就业工作领导，组建精干高效、专兼职结合的招生就业队伍，落实目标责任制，加强检查、指导、考核，制定激励政策，加大奖惩力</w:t>
      </w:r>
      <w:r>
        <w:rPr>
          <w:rFonts w:hint="eastAsia" w:ascii="仿宋_GB2312" w:hAnsi="宋体" w:eastAsia="仿宋_GB2312"/>
          <w:sz w:val="32"/>
          <w:szCs w:val="32"/>
        </w:rPr>
        <w:t>；</w:t>
      </w:r>
      <w:r>
        <w:rPr>
          <w:rFonts w:ascii="仿宋_GB2312" w:hAnsi="宋体" w:eastAsia="仿宋_GB2312"/>
          <w:sz w:val="32"/>
          <w:szCs w:val="32"/>
        </w:rPr>
        <w:t>拓宽招生渠道</w:t>
      </w:r>
      <w:r>
        <w:rPr>
          <w:rFonts w:hint="eastAsia" w:ascii="仿宋_GB2312" w:hAnsi="宋体" w:eastAsia="仿宋_GB2312"/>
          <w:sz w:val="32"/>
          <w:szCs w:val="32"/>
        </w:rPr>
        <w:t>，</w:t>
      </w:r>
      <w:r>
        <w:rPr>
          <w:rFonts w:ascii="仿宋_GB2312" w:hAnsi="宋体" w:eastAsia="仿宋_GB2312"/>
          <w:sz w:val="32"/>
          <w:szCs w:val="32"/>
        </w:rPr>
        <w:t>加强对中高职教育招生工作的统筹协调;推动学院根据合作企业需求，与合作企业共同</w:t>
      </w:r>
      <w:r>
        <w:rPr>
          <w:rFonts w:hint="eastAsia" w:ascii="仿宋_GB2312" w:hAnsi="宋体" w:eastAsia="仿宋_GB2312"/>
          <w:sz w:val="32"/>
          <w:szCs w:val="32"/>
        </w:rPr>
        <w:t>制定涉企员工培训</w:t>
      </w:r>
      <w:r>
        <w:rPr>
          <w:rFonts w:ascii="仿宋_GB2312" w:hAnsi="宋体" w:eastAsia="仿宋_GB2312"/>
          <w:sz w:val="32"/>
          <w:szCs w:val="32"/>
        </w:rPr>
        <w:t>方案</w:t>
      </w:r>
      <w:r>
        <w:rPr>
          <w:rFonts w:hint="eastAsia" w:ascii="仿宋_GB2312" w:hAnsi="宋体" w:eastAsia="仿宋_GB2312"/>
          <w:sz w:val="32"/>
          <w:szCs w:val="32"/>
        </w:rPr>
        <w:t>。</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2.积极开展创业教育，努力构建大学生</w:t>
      </w:r>
      <w:r>
        <w:rPr>
          <w:rFonts w:hint="eastAsia" w:ascii="仿宋_GB2312" w:hAnsi="宋体" w:eastAsia="仿宋_GB2312"/>
          <w:sz w:val="32"/>
          <w:szCs w:val="32"/>
        </w:rPr>
        <w:t>创新</w:t>
      </w:r>
      <w:r>
        <w:rPr>
          <w:rFonts w:ascii="仿宋_GB2312" w:hAnsi="宋体" w:eastAsia="仿宋_GB2312"/>
          <w:sz w:val="32"/>
          <w:szCs w:val="32"/>
        </w:rPr>
        <w:t xml:space="preserve">创业教育与培训工作交流平台，帮助学生树立创新意识，培养创业精神，丰富创业知识，健全创业心理，提高创业能力，争取更多的学生成为新时期的创客。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ascii="仿宋_GB2312" w:hAnsi="宋体" w:eastAsia="仿宋_GB2312"/>
          <w:sz w:val="32"/>
          <w:szCs w:val="32"/>
        </w:rPr>
        <w:t>.在保证学院稳定的毕业生就业率的前提下，要以切实提高毕业生的就业质量为目标，提高毕业生就业稳定性</w:t>
      </w:r>
      <w:r>
        <w:rPr>
          <w:rFonts w:hint="eastAsia" w:ascii="仿宋_GB2312" w:hAnsi="宋体" w:eastAsia="仿宋_GB2312"/>
          <w:sz w:val="32"/>
          <w:szCs w:val="32"/>
        </w:rPr>
        <w:t>；</w:t>
      </w:r>
      <w:r>
        <w:rPr>
          <w:rFonts w:ascii="仿宋_GB2312" w:hAnsi="宋体" w:eastAsia="仿宋_GB2312"/>
          <w:sz w:val="32"/>
          <w:szCs w:val="32"/>
        </w:rPr>
        <w:t xml:space="preserve">以创新创业为引领、以校企合作为平台、以就业服务为驱动、不断落实“充分就业和满意就业”的毕业生就业工作总体目标，提升毕业生就业竞争力和就业满意度。 </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（九）德育与校园文化建设目标</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坚持“文化塑校”理念，建立与社会主义核心价值观体系相统一的学院核心精神价值体系，弘扬“知行合一，德技双馨”校训精神；全面推进创业教育，弘扬民族传统文化及潮汕文化精粹，培育校本文化根基，提升学院文化品位，建设师生共同的精神家园；坚持立德树人，以生为本，注重人文关怀，建立和完善学生服务与管理工作体系；逐步形成具有学院独特个性和与时俱进的精神文化、制度文化、生活文化和环境文化，充分发挥校园文化的育人功能，切实增强学院发展的软实力，努力把学院建设成为文化底蕴深厚、学习氛围浓郁、内部管理规范、校园环境优雅、体现“汕职”特色的文明和谐校园。</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1.加强学生思想政治教育工作，深入学习中国特色社会主义理论体系，深入学习习近平总书记系列重要讲话精神，把社会主义核心价值观贯穿教书育人全过程，推动社会主义核心价值观有效融入到学院校园精神文化之中；以职业道德、职业能力和职业精神培育为核心，大力推进职业素质教育,全面构建学生的职业素养培养体系；建立师德评价体系，形成师德目标导向机制；加强教风建设、学风建设、校风建设、作风建设和人际关系建设；推进企业文化进校园。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2.深入推进依法治校，建立健全规章制度，完善决策和监督机制，实现决策的科学化、民主化、程序化；切实执行校务公开制度，推进党风廉政建设和反腐倡廉工作，为学院稳定快速发展提供有力保障。</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深入开展各类校园文化活动，打造文化活动品牌项目，发挥文化的载体作用，着力打造青年志愿者服务品牌，着力推进当代大学生文化与传统文化、企业文化的融合，构建环境生态、文化形态、师生心态新格局，营造勤奋好学、和谐共生的校园文化氛围。</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4.加快环境整治，美化优化校园，推进校园环境文化建设，建设一批新的文化基础设施和标志性文化景点，为师生营造赏心悦目的自然环境。</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（十）校园信息化建设目标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立足“</w:t>
      </w:r>
      <w:r>
        <w:rPr>
          <w:rFonts w:ascii="仿宋_GB2312" w:hAnsi="宋体" w:eastAsia="仿宋_GB2312"/>
          <w:sz w:val="32"/>
          <w:szCs w:val="32"/>
        </w:rPr>
        <w:t>服务和服从于学</w:t>
      </w:r>
      <w:r>
        <w:rPr>
          <w:rFonts w:hint="eastAsia" w:ascii="仿宋_GB2312" w:hAnsi="宋体" w:eastAsia="仿宋_GB2312"/>
          <w:sz w:val="32"/>
          <w:szCs w:val="32"/>
        </w:rPr>
        <w:t>院</w:t>
      </w:r>
      <w:r>
        <w:rPr>
          <w:rFonts w:ascii="仿宋_GB2312" w:hAnsi="宋体" w:eastAsia="仿宋_GB2312"/>
          <w:sz w:val="32"/>
          <w:szCs w:val="32"/>
        </w:rPr>
        <w:t>的战略发展，以用户需求为导向，以数据管理为核心”</w:t>
      </w:r>
      <w:r>
        <w:rPr>
          <w:rFonts w:hint="eastAsia" w:ascii="仿宋_GB2312" w:hAnsi="宋体" w:eastAsia="仿宋_GB2312"/>
          <w:sz w:val="32"/>
          <w:szCs w:val="32"/>
        </w:rPr>
        <w:t>的建设理念，加速学院信息化建设。</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1.继续加强信息基础设施的建设</w:t>
      </w:r>
      <w:r>
        <w:rPr>
          <w:rFonts w:hint="eastAsia" w:ascii="仿宋_GB2312" w:hAnsi="宋体" w:eastAsia="仿宋_GB2312"/>
          <w:sz w:val="32"/>
          <w:szCs w:val="32"/>
        </w:rPr>
        <w:t>，</w:t>
      </w:r>
      <w:r>
        <w:rPr>
          <w:rFonts w:ascii="仿宋_GB2312" w:hAnsi="宋体" w:eastAsia="仿宋_GB2312"/>
          <w:sz w:val="32"/>
          <w:szCs w:val="32"/>
        </w:rPr>
        <w:t xml:space="preserve">统筹做好信息化校园建设工程的整体规划和顶层设计，在校园网基础设施、数据中心基础设施、信息安全等方面继续发展，确保基础设施的发展满足支撑应用不断升级的要求。 </w:t>
      </w:r>
    </w:p>
    <w:p>
      <w:pPr>
        <w:spacing w:line="600" w:lineRule="exact"/>
        <w:ind w:firstLine="640" w:firstLineChars="200"/>
        <w:rPr>
          <w:rFonts w:ascii="仿宋_GB2312" w:hAnsi="宋体" w:eastAsia="仿宋_GB2312"/>
          <w:sz w:val="32"/>
          <w:szCs w:val="32"/>
        </w:rPr>
      </w:pPr>
      <w:r>
        <w:rPr>
          <w:rFonts w:ascii="仿宋_GB2312" w:hAnsi="宋体" w:eastAsia="仿宋_GB2312"/>
          <w:sz w:val="32"/>
          <w:szCs w:val="32"/>
        </w:rPr>
        <w:t>2.全面推进信息系统建设与应用</w:t>
      </w:r>
      <w:r>
        <w:rPr>
          <w:rFonts w:hint="eastAsia" w:ascii="仿宋_GB2312" w:hAnsi="宋体" w:eastAsia="仿宋_GB2312"/>
          <w:sz w:val="32"/>
          <w:szCs w:val="32"/>
        </w:rPr>
        <w:t>，</w:t>
      </w:r>
      <w:r>
        <w:rPr>
          <w:rFonts w:ascii="仿宋_GB2312" w:hAnsi="宋体" w:eastAsia="仿宋_GB2312"/>
          <w:sz w:val="32"/>
          <w:szCs w:val="32"/>
        </w:rPr>
        <w:t>提升在教学、科研、管理、校园生活等各领域的信息化水平，实现信息技术对学</w:t>
      </w:r>
      <w:r>
        <w:rPr>
          <w:rFonts w:hint="eastAsia" w:ascii="仿宋_GB2312" w:hAnsi="宋体" w:eastAsia="仿宋_GB2312"/>
          <w:sz w:val="32"/>
          <w:szCs w:val="32"/>
        </w:rPr>
        <w:t>院</w:t>
      </w:r>
      <w:r>
        <w:rPr>
          <w:rFonts w:ascii="仿宋_GB2312" w:hAnsi="宋体" w:eastAsia="仿宋_GB2312"/>
          <w:sz w:val="32"/>
          <w:szCs w:val="32"/>
        </w:rPr>
        <w:t xml:space="preserve">主要业务的大部分覆盖。 </w:t>
      </w:r>
    </w:p>
    <w:p>
      <w:pPr>
        <w:spacing w:line="600" w:lineRule="exact"/>
        <w:ind w:firstLine="640" w:firstLineChars="200"/>
        <w:rPr>
          <w:rFonts w:hint="eastAsia" w:ascii="仿宋_GB2312" w:hAnsi="宋体" w:eastAsia="仿宋_GB2312"/>
          <w:sz w:val="32"/>
          <w:szCs w:val="32"/>
        </w:rPr>
      </w:pPr>
      <w:r>
        <w:rPr>
          <w:rFonts w:ascii="仿宋_GB2312" w:hAnsi="宋体" w:eastAsia="仿宋_GB2312"/>
          <w:sz w:val="32"/>
          <w:szCs w:val="32"/>
        </w:rPr>
        <w:t>3.大力发展信息资源的建设、集成和有效利用</w:t>
      </w:r>
      <w:r>
        <w:rPr>
          <w:rFonts w:hint="eastAsia" w:ascii="仿宋_GB2312" w:hAnsi="宋体" w:eastAsia="仿宋_GB2312"/>
          <w:sz w:val="32"/>
          <w:szCs w:val="32"/>
        </w:rPr>
        <w:t>，</w:t>
      </w:r>
      <w:r>
        <w:rPr>
          <w:rFonts w:ascii="仿宋_GB2312" w:hAnsi="宋体" w:eastAsia="仿宋_GB2312"/>
          <w:sz w:val="32"/>
          <w:szCs w:val="32"/>
        </w:rPr>
        <w:t>推进数字图书资源，数字教学资源等信息资源建设，广泛开展教师信息化教学能力提升培训，不断提高教师的信息素养。鼓励教师参加各级信息化教学大赛，推进信息技术在教学中的广泛应用。</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（十一）校园基本建设目标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围绕“一校两区”布局，合理布局校区的教学功能，加快学院办学资源的整合；完成与学院发展规模相适应的基本建设及其配套设施建设，确保校园行政用房、用地及生均宿舍面积等各项指标达到基本办学条件良好指标要求；加快部分老旧校舍的抗震加固和维修改造工程建设；完善校园道路管网、绿化景观工程和校园信息化等设施建设，为创建功能布局合理、教学生活设施完善、资源充分利用、环境舒适优美的“平安校园、文化校园、节能校园、绿化校园、和谐校园”而努力。“十三五”期间，力争完成东墩、新津两校区的土地置换工作和校区整合，解决院本部619亩校园发展增扩用地的征地工作；完成院本部的扩建规划工作；着力改善院本部和各校区学生的住宿条件，完善教育、实训、运动场地等基础设施。</w:t>
      </w:r>
    </w:p>
    <w:p>
      <w:pPr>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（十二）对外交流与合作目标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积极开展对外交流与合作，</w:t>
      </w:r>
      <w:r>
        <w:rPr>
          <w:rFonts w:ascii="仿宋_GB2312" w:hAnsi="宋体" w:eastAsia="仿宋_GB2312"/>
          <w:sz w:val="32"/>
          <w:szCs w:val="32"/>
        </w:rPr>
        <w:t>充分利用学院的品牌和专业优势，</w:t>
      </w:r>
      <w:r>
        <w:rPr>
          <w:rFonts w:hint="eastAsia" w:ascii="仿宋_GB2312" w:hAnsi="宋体" w:eastAsia="仿宋_GB2312"/>
          <w:sz w:val="32"/>
          <w:szCs w:val="32"/>
        </w:rPr>
        <w:t>探索与兄弟院校、港澳台地区、部分国外高校等的合作机制，引进优质教学资源，加强学习、交流与合作，开展</w:t>
      </w:r>
      <w:r>
        <w:rPr>
          <w:rFonts w:ascii="仿宋_GB2312" w:hAnsi="宋体" w:eastAsia="仿宋_GB2312"/>
          <w:sz w:val="32"/>
          <w:szCs w:val="32"/>
        </w:rPr>
        <w:t>全方位、多元化培养人才</w:t>
      </w:r>
      <w:r>
        <w:rPr>
          <w:rFonts w:hint="eastAsia" w:ascii="仿宋_GB2312" w:hAnsi="宋体" w:eastAsia="仿宋_GB2312"/>
          <w:sz w:val="32"/>
          <w:szCs w:val="32"/>
        </w:rPr>
        <w:t>，保持学院的办学活力与竞争力，提升办学水平。力争在“十三五”期间与10所高校建立稳定的合作机制，增加教师对外交流和联合办学合作项目，开拓对企业人员的技术培训。</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（十三）党的建设目标</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坚持党要管党、从严治党，全面贯彻党的教育方针，牢固树立围绕中心、服务大局的鲜明导向，大力推进学习型、服务型、创新型基层党组织建设，不断增强创造力、凝聚力和战斗力，充分发挥学院党委的领导核心和政治核心作用、基层党组织的战斗堡垒作用和党员的先锋模范作用，为学院各项事业发展提供坚强的政治、思想和组织保证。经过“十三五”期间的努力，使学院党的领导核心作用明显发挥、领导水平明显增强、服务能力明显提高、发展成效明显提升，达到“六有”的发展目标：一是有明确清晰的发展思路，强化党建主体责任，贯彻党的教育方针政策和国家法律法规，坚持社会主义办学方向，办学定位和事业发展目标明确；二是有坚强有力的领导班子，驾驭全局和科学决策能力强，党政领导分工明确合理，配合默契，党政班子团结协调；三是有本领过硬的骨干队伍，建设服务意识强、工作作风好、业务水平高的党员干部队伍；四是有健全完善的制度机制，认真执行党委领导下的校长负责制，党委充分发挥领导核心作用，院长依法独立负责地行使职权，依法治校迈上新台阶，党建工作形成规范化、常态化、长效化的工作制度；五是有行之有效的监督机制，贯彻党风廉政建设责任制，党员干部自觉遵守廉洁自律各项规定，党务公开和院务公开及时透明，发挥教职工代表大会及群众组织作用，健全师生员工参与民主管理和监督的工作机制；六是有师生满意的发展业绩，教育教学质量不断提高，办学条件逐年改善，学院规模、结构、质量、效益协调发展，积极为经济建设和社会发展服务。</w:t>
      </w:r>
    </w:p>
    <w:p>
      <w:pPr>
        <w:spacing w:line="600" w:lineRule="exact"/>
        <w:ind w:firstLine="630" w:firstLineChars="196"/>
        <w:rPr>
          <w:rFonts w:hint="eastAsia" w:ascii="仿宋_GB2312" w:hAnsi="宋体" w:eastAsia="仿宋_GB2312"/>
          <w:b/>
          <w:sz w:val="32"/>
          <w:szCs w:val="32"/>
        </w:rPr>
      </w:pPr>
      <w:r>
        <w:rPr>
          <w:rFonts w:hint="eastAsia" w:ascii="仿宋_GB2312" w:hAnsi="宋体" w:eastAsia="仿宋_GB2312"/>
          <w:b/>
          <w:sz w:val="32"/>
          <w:szCs w:val="32"/>
        </w:rPr>
        <w:t>五、保障措施</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“十三五”将是学院的重要发展期和机遇期，要完成“十三五”提出的各项任务，实现既定目标，就必须进一步解放思想，更新观念，锐意进取，大胆探索，并从以下方面给予重点保障：</w:t>
      </w:r>
    </w:p>
    <w:p>
      <w:pPr>
        <w:spacing w:line="600" w:lineRule="exact"/>
        <w:ind w:firstLine="643" w:firstLineChars="200"/>
        <w:rPr>
          <w:rFonts w:hint="eastAsia" w:ascii="仿宋_GB2312" w:hAnsi="宋体" w:eastAsia="仿宋_GB2312"/>
          <w:b/>
          <w:sz w:val="32"/>
          <w:szCs w:val="32"/>
        </w:rPr>
      </w:pPr>
      <w:bookmarkStart w:id="0" w:name="_Toc414521304"/>
      <w:r>
        <w:rPr>
          <w:rFonts w:hint="eastAsia" w:ascii="仿宋_GB2312" w:hAnsi="宋体" w:eastAsia="仿宋_GB2312"/>
          <w:b/>
          <w:sz w:val="32"/>
          <w:szCs w:val="32"/>
        </w:rPr>
        <w:t>（一）加强党建和思想政治工作，确保思想保障</w:t>
      </w:r>
      <w:bookmarkEnd w:id="0"/>
      <w:r>
        <w:rPr>
          <w:rFonts w:hint="eastAsia" w:ascii="仿宋_GB2312" w:hAnsi="宋体" w:eastAsia="仿宋_GB2312"/>
          <w:b/>
          <w:sz w:val="32"/>
          <w:szCs w:val="32"/>
        </w:rPr>
        <w:t>到位</w:t>
      </w:r>
    </w:p>
    <w:p>
      <w:pPr>
        <w:spacing w:line="600" w:lineRule="exact"/>
        <w:ind w:firstLine="640" w:firstLineChars="200"/>
        <w:rPr>
          <w:rFonts w:hint="eastAsia" w:ascii="仿宋_GB2312" w:eastAsia="仿宋_GB2312"/>
          <w:sz w:val="32"/>
          <w:szCs w:val="32"/>
        </w:rPr>
      </w:pPr>
      <w:bookmarkStart w:id="1" w:name="_Toc414521305"/>
      <w:r>
        <w:rPr>
          <w:rFonts w:hint="eastAsia" w:ascii="仿宋_GB2312" w:eastAsia="仿宋_GB2312"/>
          <w:sz w:val="32"/>
          <w:szCs w:val="32"/>
        </w:rPr>
        <w:t>加强学院基层党组织建设，大力创建基层服务型党组织，不断提高基层党组织的创造力、凝聚力和战斗力，发挥各基层党组织的政治核心作用和党支部的战斗堡垒作用，保证党的路线方针政策和学院各项决定的贯彻落实。加强领导班子和领导干部思想政治建设、作风建设和能力建设，牢固树立和落实创新、协调、绿色、开放、共享的发展理念，不断提高领导干部思想政治素质和办学治校能力。加强和改进高校意识形态工作和思想政治工作，坚持用中国特色社会主义理论体系武装师生员工头脑，培育和践行社会主义核心价值观，牢牢掌握学院意识形态工作的领导权、管理权、话语权，引导师生员工坚持正确的政治方向，全力维护学院稳定大局，为改革发展提供精神动力和思想保证。</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（二）加强领导班子建设，确保组织保障</w:t>
      </w:r>
      <w:bookmarkEnd w:id="1"/>
      <w:r>
        <w:rPr>
          <w:rFonts w:hint="eastAsia" w:ascii="仿宋_GB2312" w:hAnsi="宋体" w:eastAsia="仿宋_GB2312"/>
          <w:b/>
          <w:sz w:val="32"/>
          <w:szCs w:val="32"/>
        </w:rPr>
        <w:t>到位</w:t>
      </w:r>
    </w:p>
    <w:p>
      <w:pPr>
        <w:spacing w:line="600" w:lineRule="exact"/>
        <w:ind w:firstLine="627" w:firstLineChars="196"/>
        <w:rPr>
          <w:rFonts w:hint="eastAsia" w:ascii="宋体" w:hAnsi="宋体"/>
          <w:sz w:val="32"/>
          <w:szCs w:val="32"/>
        </w:rPr>
      </w:pPr>
      <w:r>
        <w:rPr>
          <w:rFonts w:hint="eastAsia" w:ascii="仿宋_GB2312" w:eastAsia="仿宋_GB2312"/>
          <w:sz w:val="32"/>
          <w:szCs w:val="32"/>
        </w:rPr>
        <w:t>良好的管理体制和具有活力的干部队伍，是学院事业发展的根本保障。“十三五”期间，学院将坚持和完善党委领导下的院长负责制，完善党政联系会议制度和校务会议制度；坚持民主集中制，努力把学院领导班子建设成为团结干事、开拓进取的领导集体；切实加强领导班子能力建设,提高领导班子驾驭全局和处置急、难、险、重问题的能力；强化各级干部选拔（选聘）、任用、培养和管理，激励各级干部团结干事、干实事；稳步推进以强化机构职能为主要目的的内部机构调整与改革，使机构设置更加适应内部高效运转的需要，更加适应改革的需要，更加适应发展的需要，为规划的顺利实施提供有效的组织保障。</w:t>
      </w:r>
      <w:r>
        <w:rPr>
          <w:rFonts w:hint="eastAsia" w:ascii="宋体" w:hAnsi="宋体"/>
          <w:sz w:val="32"/>
          <w:szCs w:val="32"/>
        </w:rPr>
        <w:t xml:space="preserve"> </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（三）健全现代大学管理制度，确保制度保障到位</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建设完整、规范、系统、适用的内部管理规章制度是学院重要的基本建设，也是学院“十三五”规划顺利实施的重要保障。“十三五”期间，学院将继续坚持依法办学，立足学院章程和ISO9001国际质量管理体系建设，规范管理，依规治校，提高规章制度的权威和效率，健全学院现代大学管理制度，使各级管理人员养成依法立规、依规办事的良好意识和习惯。一是要建立和完善科学决策、民主参与的学院决策机制，制定科学的议事规则，强化决策程序，促进科学决策、规范决策、有效决策；二是要通过完善以责权利为基础的各项制度建设，进一步调动各职能部门和教学系（部）工作的积极性和主动性，不断提高工作质量和效率；三是深化以收入分配为核心的人事分配制度改革，建立重实绩、重贡献、多劳多得、优质优酬、奖勤罚懒的分配激励制度；四是调整和充实各项教学管理规章制度，建立教学改革的保障性制度，确保各项教学改革的顺利进行；五要进一步加强和完善学生管理相关规章制度，促进学生工作的系统化、规范化，打造学生管理工作特色；六是要进一步加强促进学生就业的规章制度建设，完善就业心理咨询、就业指导以及就业工作管理等各项制度；七是逐步建立全员、全覆盖的内部目标责任和专项工作考核制度，加强工作过程和业绩考核，用考核促工作，用考核促效率。</w:t>
      </w:r>
    </w:p>
    <w:p>
      <w:pPr>
        <w:spacing w:line="600" w:lineRule="exact"/>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（四）完善建设资金筹措制度，确保经费保障到位</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十三五”学院面临内涵建设和外延发展的双重建设，任务十分繁重，资金压力异常巨大，为此，学院将坚持开源与节流并重原则，在完善财务管理体制和管理模式基础上，健全以政府投入为主、行业企业支持、面向全社会的多渠道筹集教育经费的体制，确保各项建设项目的顺利实施。一是积极争取政府支持，为学校发展赢得更多的政策、资金支持。二是积极通过“创新强校工程”项目、申报各类项目建设，争取国家和省政府的有关教育、科研、基建奖补资金，以及专项经费、财政性补贴等各种财政补助。三是多形式办学，多渠道筹集办学经费。鼓励系（部）二级单位通过校企合作、校校合作、校政合作等形式开展多种形式的合作办学、合作研究，拓展办学资源，节约办学成本，取得最大化的办学效益。四是充分利用侨乡的优势，引进侨资支持学院办学。</w:t>
      </w:r>
    </w:p>
    <w:p>
      <w:pPr>
        <w:spacing w:line="600" w:lineRule="exact"/>
        <w:ind w:firstLine="643" w:firstLineChars="200"/>
        <w:rPr>
          <w:rFonts w:hint="eastAsia" w:ascii="仿宋_GB2312" w:eastAsia="仿宋_GB2312"/>
          <w:sz w:val="32"/>
          <w:szCs w:val="32"/>
        </w:rPr>
      </w:pPr>
      <w:bookmarkStart w:id="2" w:name="_Toc414456311"/>
      <w:bookmarkStart w:id="3" w:name="_Toc414521308"/>
      <w:r>
        <w:rPr>
          <w:rFonts w:hint="eastAsia" w:ascii="仿宋_GB2312" w:hAnsi="宋体" w:eastAsia="仿宋_GB2312"/>
          <w:b/>
          <w:sz w:val="32"/>
          <w:szCs w:val="32"/>
        </w:rPr>
        <w:t>（五）及时把握改革动向，确保政策支撑</w:t>
      </w:r>
      <w:bookmarkEnd w:id="2"/>
      <w:bookmarkEnd w:id="3"/>
      <w:r>
        <w:rPr>
          <w:rFonts w:hint="eastAsia" w:ascii="仿宋_GB2312" w:hAnsi="宋体" w:eastAsia="仿宋_GB2312"/>
          <w:b/>
          <w:sz w:val="32"/>
          <w:szCs w:val="32"/>
        </w:rPr>
        <w:t>到位</w:t>
      </w:r>
    </w:p>
    <w:p>
      <w:pPr>
        <w:spacing w:line="600" w:lineRule="exact"/>
        <w:ind w:firstLine="627" w:firstLineChars="196"/>
        <w:rPr>
          <w:rFonts w:hint="eastAsia" w:ascii="仿宋_GB2312" w:eastAsia="仿宋_GB2312"/>
          <w:sz w:val="32"/>
          <w:szCs w:val="32"/>
        </w:rPr>
      </w:pPr>
      <w:r>
        <w:rPr>
          <w:rFonts w:hint="eastAsia" w:ascii="仿宋_GB2312" w:eastAsia="仿宋_GB2312"/>
          <w:sz w:val="32"/>
          <w:szCs w:val="32"/>
        </w:rPr>
        <w:t>要实现学院“十三五”规划发展目标，除需学院领导和全体师生员工的共同努力外，更需要紧盯形势、发挥优势，积极争取上级政策支持，为学院的建设和发展创造良好的政策和外部环境。一是要在认真研究国家和省厅有关发展高等职业教育的有关思路、政策和措施，将现有政策用够用足；二是在充分分析高等教育改革和职业教育改革动向的基础上，结合学院实际，积极思考、主动作为，创造有利于学院发展需要的外部环境和政策支持。三是立足汕头社会经济发展总体布局和华侨经济文化合作试验区建设，创新思路，积极引导，获取政策支持，加快学院的转型与提质发展。</w:t>
      </w:r>
    </w:p>
    <w:p>
      <w:pPr>
        <w:spacing w:line="600" w:lineRule="exact"/>
        <w:rPr>
          <w:rFonts w:hint="eastAsia" w:ascii="宋体" w:hAnsi="宋体" w:cs="仿宋"/>
          <w:b/>
          <w:sz w:val="36"/>
          <w:szCs w:val="36"/>
        </w:rPr>
      </w:pPr>
    </w:p>
    <w:p>
      <w:pPr>
        <w:adjustRightInd w:val="0"/>
        <w:spacing w:before="312" w:beforeLines="100" w:line="600" w:lineRule="exact"/>
        <w:jc w:val="center"/>
        <w:rPr>
          <w:rFonts w:hint="eastAsia" w:ascii="宋体" w:hAnsi="宋体" w:cs="仿宋"/>
          <w:b/>
          <w:sz w:val="36"/>
          <w:szCs w:val="36"/>
        </w:rPr>
      </w:pPr>
      <w:r>
        <w:rPr>
          <w:rFonts w:hint="eastAsia" w:ascii="宋体" w:hAnsi="宋体" w:cs="仿宋"/>
          <w:b/>
          <w:sz w:val="36"/>
          <w:szCs w:val="36"/>
        </w:rPr>
        <w:t>汕头职业技术学院“十三五”党的建设工作规划</w:t>
      </w:r>
    </w:p>
    <w:p>
      <w:pPr>
        <w:spacing w:before="312" w:beforeLines="100" w:line="480" w:lineRule="exact"/>
        <w:jc w:val="center"/>
        <w:rPr>
          <w:rFonts w:hint="eastAsia" w:ascii="宋体" w:hAnsi="宋体"/>
          <w:sz w:val="36"/>
          <w:szCs w:val="36"/>
        </w:rPr>
      </w:pPr>
      <w:r>
        <w:rPr>
          <w:rFonts w:ascii="宋体" w:hAnsi="宋体"/>
          <w:sz w:val="36"/>
          <w:szCs w:val="36"/>
        </w:rPr>
        <w:t>（2016-2020年）</w:t>
      </w:r>
    </w:p>
    <w:p>
      <w:pPr>
        <w:spacing w:before="156" w:beforeLines="50" w:line="480" w:lineRule="exact"/>
        <w:jc w:val="center"/>
        <w:rPr>
          <w:rFonts w:hint="eastAsia" w:ascii="宋体" w:hAnsi="宋体"/>
          <w:sz w:val="36"/>
          <w:szCs w:val="36"/>
        </w:rPr>
      </w:pP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根据《中华人民共和国国民经济和社会发展第十三个五年规划纲要》、《中共广东省委关于制定国民经济和社会发展第十三个五年规划的建议》、《国家中长期教育改革和发展规划纲要（2010—2020年）》、《广东省中长期教育改革和发展规划纲要（2010—2020年）》、《汕头市国民经济和社会发展第十三个五年规划纲要》以及《国务院关于加快发展现代职业教育的决定》（国发〔2014〕19号）、《广东省人民政府关于创建现代职业教育综合改革试点省的意见》（粤府〔2015〕12号）等文件精神，适应国家、广东省、粤东地区经济社会发展对高等教育提出的新要求，依据高等教育发展形势和发展规律，结合学院党建工作实际，制定本专项发展规划。</w:t>
      </w:r>
    </w:p>
    <w:p>
      <w:pPr>
        <w:spacing w:line="600" w:lineRule="exact"/>
        <w:ind w:firstLine="803" w:firstLineChars="250"/>
        <w:rPr>
          <w:rFonts w:hint="eastAsia" w:ascii="仿宋_GB2312" w:hAnsi="宋体" w:eastAsia="仿宋_GB2312" w:cs="仿宋"/>
          <w:b/>
          <w:bCs/>
          <w:sz w:val="32"/>
          <w:szCs w:val="32"/>
        </w:rPr>
      </w:pPr>
      <w:r>
        <w:rPr>
          <w:rFonts w:hint="eastAsia" w:ascii="仿宋_GB2312" w:hAnsi="宋体" w:eastAsia="仿宋_GB2312" w:cs="仿宋"/>
          <w:b/>
          <w:bCs/>
          <w:sz w:val="32"/>
          <w:szCs w:val="32"/>
        </w:rPr>
        <w:t>一、“十二五”期间党建工作发展状况</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十二五”期间，学院党委高举中国特色社会主义伟大旗帜，坚持社会主义办学方向，全面贯彻落实党的教育方针，坚持党委领导下的校长负责制和民主集中制，总揽全局，凝心聚力，团结和依靠全体师生员工，围绕“坚持教育创新和依法治校，加强内涵建设，全面提升学院的核心竞争力，为汕头地方经济建设与社会发展服务”工作思路，充分发挥党委统领学院改革发展稳定全局的领导核心作用，支持院长依法独立负责地行使职权，建立健全党委统一领导、党政分工合作、协调运行的工作机制，扎实推进“学习型、服务型、创新型”党组织建设，着力增强党组织的凝聚力、创造力、战斗力，积极稳妥地推进学院各项改革和建设，基本完成了“十二五”规划确定的主要目标和任务。</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（一）主要成就</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1.坚持党的领导，充分发挥领导核心作用。认真落实党委领导下的校长负责制和党的民主集中制，切实发挥好学院党委领导核心作用，大力支持院长依法独立负责地行使职权，保证以人才培养为中心的各项任务完成。建立和进一步完善了党委会、院长办公会的议事规则，积极推进学院制度建设和规范化管理，特别是完善学院“三重一大”集体决策机制、程序和议事规则，坚持学院发展重大事项、重大工作、重要干部任免和大额资金使用等都要开展基层调研，经过集体讨论决定，确保重大决策的科学性和正确性，充分发挥党委在事关学院发展重大决策中的核心领导作用。进一步提升发展理念，充分发挥党委在学院办学方向和科学发展上的引领作用。结合汕头地方经济建设与社会发展实际，不断总结办学经验，深化“坚持教育创新和依法治校，加强内涵建设，全面提升学院的核心竞争力，为汕头经济建设与社会发展服务，走出一条符合汕职院发展的特色之路”的发展思路，并适时提出了优化学院运行机制，优化人才培养模式，优化办学环境，优化干部队伍和师资队伍等一系列发展思路和工作举措，充分发挥了党委在学院办学方向和科学发展上的引领作用。</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2.加强领导班子建设，切实提高学院党委统领发展全局的能力。学院党委把领导班子建设作为党建工作的一项重要任务，积极开展以“精神状态好、能力素质好、团结协作好、服务群众好、廉洁自律好”为目标的好班子创建工作，着力加强学院各级领导班子的思想、组织、作风和制度建设、反腐倡廉建设，力争把学院领导班子建设成为坚决贯彻党的理论和路线方针政策、善于领导科学发展的坚强领导集体。以创建学习型党组织为核心，注重开展政治理论学习，坚持社会主义办学方向，坚持抓好班子的思想政治建设、业务建设，切实加强理论学习，不断提高班子成员和党员干部的政治素质和理论素养，不断提高领导干部的政治鉴别力、应对复杂局面的能力、总揽全局的能力和依法治校的能力。加强党内民主建设，推进管理规范化、决策科学化。以抓好民主生活会制度为重点，切实加强院系两级领导班子建设。认真落实领导干部工作责任制，坚持集体领导和个人分工负责相结合的制度，按照各自分工做好分管工作，进一步形成了既有民主，又有集中，既有纪律，又有自由的局面，确保了党的路线方针政策和各项决策部署在学院教育工作中得到不折不扣的贯彻落实。</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 xml:space="preserve">3.深化体制改革，进一步理顺了管理体制。加强机构编制工作，根据学院发展需要，科学调整内设机构，进一步理顺管理体制。如根据学院发展需要并报请上级编制部门批准，将成人教育部和汕头市中小学教师继续教育中心整合为成人教育部（自学辅导中心），将中专部改设为校区管理办公室，增设了保卫处（人民武装部）、网络与信息中心、教学督导室；设置了军事理论课教研室、《南方职业教育学刊》编辑部、人才培养工作数据平台管理中心、学生资助管理中心等中层部门下属科室。加强人事制度改革，积极稳妥地推进首次岗位设置和人员聘用工作，制订《汕头职业技术学院首次岗位设置方案》、《汕头职业技术学院岗位设置实施方案》，并上报市人社部门审批后逐步实施。结合学院实际，制定了《汕头职业技术学院首次专业技术人员竞聘上岗工作方案》，2014年8月启动了首次专业技术人员竞聘上岗工作，目前已完成了副高级和中级岗位的首次竞聘工作。成立了协同机制创新改革研究与实践及“创新强校工程”项目工作机构，以协同创新为引领，将协同创新思想贯穿于学院人才培养、科学研究、社会服务和文化传承创新全过程。 </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4.加强思想理论建设，为学院科学发展提供坚强的思想政治保障。学院党委高度重视政治理论学习，进一步健全和完善了党委中心组学习制度，做到了学习计划、时间、内容三落实，不断提高班子成员的政治素质和理论素养，不断提高办学治校、解决实际问题的水平和能力。深入开展了保持共产党员先进性教育活动、解放思想学习讨论活动、学习实践科学发展观活动和创先争优活动，扎实开展党的群众路线教育实践活动和“三严三实”专题教育活动，认真学习习近平总书记系列重要讲话精神，加强了党员干部马克思主义群众观点和党的群众路线教育，实现了转作风、强组织、促发展的目标。加强大学生思想政治教育工作，在大学生中开展了“我的中国梦”主题教育系列活动和“三下乡”等主题社会实践活动，举办了“铸中国魂，圆中国梦”大型公益论坛和“弘扬中华民族传统美德、践行社会主义核心价值观”演讲比赛等活动，把社会主义核心价值体系融入到大学生思想政治工作的全过程。加强思想政治理论课建设，发挥思想政治理论课教学的主渠道作用，2010年6月顺利通过了广东省思想政治理论课建设评估。加强校园文化建设，依托“师陶节”、学生社团活动等校园文化活动载体，加强校风、教风、学风“三风”建设，组织开展“向上向善进行时——全国大学生道德实践成果网络巡礼”等活动，提高学生网络安全使用意识，加强学生思想道德建设。加强师德师风建设，打造教师乐教，服务至上的校园育人环境。</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5.加强基层党组织建设，充分发挥基层党组织的战斗堡垒作用和党员的先锋模范作用。坚持“围绕中心抓党建，抓好党建促中心”的工作理念，发挥党建工作的政治保证和组织保证作用。优化基层党组织设置，分期分批对学院部分基层党组织进行换届选举及充实部分基层党组织的班子配备，保证基层党组织工作的正常运转。积极开展创建“学习型党组织”活动和以“三爱一奉献”为主题的创先争优活动，定期开展年度党员民主评议工作，邀请专家学者为党委中心组理论学习举办专题讲座，举办基层党务干部培训班，建设一支高素质党员队伍。认真做好发展党员的各项基础性工作，党员队伍不断壮大，“十二五”期间，学院共发展党员1081名，其中学生党员1060名，教工党员21名，举办入党积极分子培训班10期，培养入党积极分子2339名。不断规范党务工作，编印了《汕头职业技术学院党务工作手册》，较好地解决了基层党建工作中存在的难点和盲点。严格发展党员工作程序，严格贯彻执行“五榜公示二次票决制”，提高发展党员质量。开展贯彻“一条例两意见”情况专项检查和外语系党总支开展基层服务型党组织规范化建设示范创建活动，有关工作受到市直工委的肯定。坚持党建工作与学院中心工作“两不误，两促进”，以教育部高职高专院校人才培养工作水平评估、学习实践科学发展观、广东省高校思想政治理论课建设评估、创先争优活动、党的群众路线教育实践活动、“三严三实”专题教育活动等为契机开展党建工作，增强基层党组织活力，激发党员干部干劲，推动学院事业健康有序发展。</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6.加强干部队伍建设，为学院事业发展提供坚强的组织保障。坚持正确的用人导向，坚持党管干部的原则，坚持“德才兼备、以德为先、注重实绩、群众公认”的选人用人标准选拔任用干部，积极推进干部竞争上岗和内设机构领导班子调整充实工作，严格按照新修订的《党政领导干部选拔任用工作条例》的要求和《汕头市事业单位工作人员竞聘上岗暂行办法》的精神，从学院的实际出发，大力推进干部队伍建设，根据学院工作需要，选聘和调配了有关学系及管理机构的领导干部，进一步优化了结构，切实加强了高素质干部队伍的建设。加强对干部队伍的教育培训，通过举办学习班、进修培训、专题工作研讨、挂职锻炼和作风建设等途径，提高了干部队伍的综合素质和管理能力。加强干部队伍管理，实施高校基层党组织建设“书记项目”工程——汕头职业技术学院干部队伍建设项目；按照上级的要求和学院的实际，加大了干部的交流轮岗；对试用期满的中层领导干部进行任期考核；深化干部述职述廉及群众评议制度；试行干部任期谈话制度和中层领导干部离任交接制度，制定并实施了《汕头职业技术学院中层领导干部离任责任交接暂行办法》；加强对干部队伍的绩效考核管理，增加考核的透明度和公平性。注重提高执行力，不断增强党员干部的事业心和责任感，强化忧患意识、协同意识、全局意识和责任意识，用制度来规范、约束和激励，加强对党员干部不作为、乱作为的问责，强化党员干部的责任意识和担当意识，确保学院领导班子的决策得到强有力的贯彻和落实。</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7.加强作风建设，全面开展党的群众路线教育实践活动。从2013年7月起，学院作为第一批教育实践活动单位，在省委实践办的正确领导和省委第22督导组的指导下，切实加强对教育实践活动的组织和领导，共精心组织了11场专题学习会，到基层单位开展调研活动30多场次，广泛征求各类意见、建议约60条，在此基础上召开了专题民主生活会，集中查找解决“四风”问题，并认真制订了整改方案，着力抓好教职工反映强烈的食堂用餐问题，着力抓好院本部风雨操场楼房的排危和维修加固工作，着力解决好制约学院科学发展的信息化建设问题等，集中力量开展专项整治，取得了良好的工作成效，学院的教育实践活动得到省委第22督导组的充分肯定。</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8.落实从严治党各项工作要求，深入推进反腐倡廉建设，保障学院各项事业科学发展。认真落实党风廉政建设责任制，突出党委主体责任，层层落实责任，促进“一岗双责”有效落实。加强作风建设，严格遵守廉洁从政若干准则，严格执行中央关于改进工作作风，密切联系群众八项规定，认真落实习近平总书记提出的“三严三实”作风建设要求。扎实开展“三严三实”专题教育活动，积极开展政风行风评议活动，提高学院依法办学执教的水平，逐渐形成干净干事的风气。高度重视党风廉政教育，营造良好的廉政氛围，以优良的党风促政风带校风。加大监督力度，不断拓宽信访举报渠道和充分发挥审计免疫系统职能，强化廉政风险防控管理。开展“庸懒散奢”专项整治活动，采取有效措施，努力提升工作水平，切实提高执行力，在“治庸提能力、治懒增效率、治散凝心力、治奢保清廉”上取得了一定的工作成效。</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9.加强平安和谐校园建设，促进了学院事业的稳定有序发展。重视加强维稳和安全综合治理，召开年度维稳和安全工作会议，签订消防安全责任书和意识形态工作“六项责任制”责任书，加强网络信息安全工作，增加校园安全设施投入，提高安全技防力度，加强安全教育，开展安全排查，提高安全意识，有力地保证了校园的政治安全、办学安全和稳定。加强民主监督，多渠道、多形式落实党务、校务公开制度，使师生员工的知情权、参与权、监督权得到保证。加强和改进对工会和妇女工作的领导，启动学院第二次教代会的筹备工作，切实发挥其联系师生的桥梁和纽带作用以及民主管理作用。加强对共青团和学生组织的领导和指导，引导广大青年牢记“知行合一、德技双馨”的校训，传承“汕职精神”，取得了明显的成效，学院团委等团组织获得广东省“五四红旗团委标兵”、广东省“五四红旗团委”、汕头市“文明单位”、广东省“大学生‘三下乡’先进集体”等荣誉称号，一批个人受到省、市表彰。重视统战工作，充分发挥学院各民主党派和无党派人士在民主管理、建言献策的作用，充分调动教职员工特别是党外知识分子、专家学者参与依法治校积极性，形成团结奋进、干事创业的工作合力。做好离退休老干部工作，多次召开老干部座谈会，组织看望、慰问离退休干部，切实做到对老干部政治上多关心、思想上多沟通、生活上多照顾、精神上多关怀。重视普法教育，依托“国际禁毒日”、“12</w:t>
      </w:r>
      <w:r>
        <w:rPr>
          <w:rFonts w:hint="eastAsia" w:ascii="仿宋_GB2312" w:hAnsi="宋体" w:cs="仿宋"/>
          <w:sz w:val="32"/>
          <w:szCs w:val="32"/>
        </w:rPr>
        <w:t>•</w:t>
      </w:r>
      <w:r>
        <w:rPr>
          <w:rFonts w:hint="eastAsia" w:ascii="仿宋_GB2312" w:hAnsi="宋体" w:eastAsia="仿宋_GB2312" w:cs="仿宋"/>
          <w:sz w:val="32"/>
          <w:szCs w:val="32"/>
        </w:rPr>
        <w:t>5</w:t>
      </w:r>
      <w:r>
        <w:rPr>
          <w:rFonts w:hint="eastAsia" w:ascii="宋体" w:hAnsi="宋体" w:cs="仿宋"/>
          <w:sz w:val="32"/>
          <w:szCs w:val="32"/>
        </w:rPr>
        <w:t>”</w:t>
      </w:r>
      <w:r>
        <w:rPr>
          <w:rFonts w:hint="eastAsia" w:ascii="仿宋_GB2312" w:hAnsi="宋体" w:eastAsia="仿宋_GB2312" w:cs="仿宋"/>
          <w:sz w:val="32"/>
          <w:szCs w:val="32"/>
        </w:rPr>
        <w:t>法制宣传日、“6</w:t>
      </w:r>
      <w:r>
        <w:rPr>
          <w:rFonts w:hint="eastAsia" w:ascii="仿宋_GB2312" w:hAnsi="宋体" w:cs="仿宋"/>
          <w:sz w:val="32"/>
          <w:szCs w:val="32"/>
        </w:rPr>
        <w:t>•</w:t>
      </w:r>
      <w:r>
        <w:rPr>
          <w:rFonts w:hint="eastAsia" w:ascii="仿宋_GB2312" w:hAnsi="宋体" w:eastAsia="仿宋_GB2312" w:cs="仿宋"/>
          <w:sz w:val="32"/>
          <w:szCs w:val="32"/>
        </w:rPr>
        <w:t>10”反邪教宣传日等专题宣传教育活动日开展丰富多彩的校园文化活动，营造浓厚的学法、守法、用法的普法教育氛围。</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（二）存在的主要问题与不足</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1.基层党建科学化水平有待进一步提高。党建工作责任制和意识形态工作责任制尚未建立起长效机制。一些基层党组织创新能力不强，服务发展的作用没有有效发挥，存在工作一般化现象，服务型党组织建设有待提高。党员质量和党员结构有待优化提升。</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2.体制机制改革有待进一步推进。学院实施“创新强校工程”，积极推进协同机制创新改革研究与实践工作，通过加强机构编制工作，科学调整内设机构和校区规划，为整合办学资源、提高办学效率奠定了基础，但目前各校区、各部门资源整合、协同创新仍存在机制壁垒和部门壁垒，整个体制机制改革有待进一步深入推进。</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3.干部队伍建设有待进一步加强。“十二五”期间，学院干部队伍建设取得了一定的成效，但由于受历史原因、政策影响等方面的限制，干部队伍的年龄结构、学历结构等仍有待进一步优化，少数干部作风有待进一步改进，干部开拓创新意识有待进一步提高。</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二、“十三五”期间面临的形势</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党的十八大以来，习近平总书记发表了系列重要讲话，提出了实现“中国梦”、科学把握“五位一体”总体布局、协调推进“四个全面”战略布局、树立“五大发展理念”、推动“一带一路”建设等一系列治国理政新理念新思想新战略，为在新的历史条件下加强和改进高校党的建设，办好中国特色社会主义大学提供了科学理论指导和行动指南。</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十三五”时期是全面建成小康社会决胜阶段，对高等职业教育提出了新要求，也提供了新机遇。高校肩负着学习研究宣传马克思主义、培养中国特色社会主义事业建设者和接班人的重大任务。办好中国特色社会主义大学，必须加强党对高校的领导，加强和改进高校党的建设，充分发挥高校党委在深化综合改革、建设中国特色现代大学制度中的领导核心作用。</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十三五”时期是学院推进现代大学制度建设，完善学院内部治理结构，提升综合办学实力和核心竞争力，建设特色鲜明的高水平职业技术学院的重要战略机遇期，也是学院改革与发展过程中各种内外部矛盾的凸显期。学院不仅要面临转变办学方式、推进内涵发展而实施的主动调整，还要面临深化内部体制机制改革、优化内部治理结构而带来的各种攻坚克难，迫切需要加强党的领导，充分发挥党委的领导核心作用、基层党组织的战斗堡垒作用和党员干部的先锋模范作用，推动学院各级党组织、各级领导干部解放思想，协同创新，凝心聚力，推动学院更好更快地发展。</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三、“十三五”期间党建工作发展的指导思想、发展思路和总体目标</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（一）指导思想</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高举中国特色社会主义伟大旗帜，以马克思列宁主义、毛泽东思想、邓小平理论、“三个代表”重要思想、科学发展观为指导，以党的十八大和十八届三中、四中、五中全会精神为指引，深入学习贯彻习近平总书记系列重要讲话精神，坚持社会主义大学办学方向，全面贯彻党的教育方针，牢固树立围绕中心、服务大局的鲜明导向，按照“五位一体”总体布局和“四个全面”战略布局，秉持创新、协调、绿色、开放、共享的发展理念，大力推进学习型、服务型、创新型基层党组织建设，不断增强创造力、凝聚力和战斗力，充分发挥学院党委的领导核心和政治核心作用、基层党组织的战斗堡垒作用和党员的先锋模范作用，为学院各项事业发展提供坚强的政治、思想和组织保证。</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（二）发展思路</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坚持党要管党、从严治党，围绕立德树人，把培育和践行社会主义核心价值观融入教书育人全过程，培养中国特色社会主义事业合格建设者和可靠接班人；强化思想引领，始终坚持马克思主义的指导地位，始终坚持社会主义办学方向，始终坚持党的教育方针，始终高举中国特色社会主义伟大旗帜，牢牢把握学院意识形态工作领导权；坚持和完善党委领导下的校长负责制，不断改革和完善学院体制机制，进一步优化办学资源配置，深化教育教学改革，全面提升办学水平；全面推进学院党的建设各项工作，不断提升党建工作科学化水平，有效发挥基层党组织战斗堡垒作用和共产党员先锋模范作用，全面推进学院科学发展。</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（三）总体目标</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经过“十三五”期间的努力，使学院党的领导核心作用明显发挥、领导水平明显增强、服务能力明显提高、发展成效明显提升，达到“六有”的发展目标：一是有明确清晰的发展思路，强化党建主体责任，贯彻党的教育方针政策和国家法律法规，坚持社会主义办学方向，办学定位和事业发展目标明确；二是有坚强有力的领导班子，驾驭全局和科学决策能力强，党政领导分工明确合理，配合默契，党政班子团结协调；三是有本领过硬的骨干队伍，建设服务意识强、工作作风好、业务水平高的党员干部队伍；四是有健全完善的制度机制，认真执行党委领导下的校长负责制，党委充分发挥领导核心作用，院长依法独立负责地行使职权，依法治校迈上新台阶，党建工作形成规范化、常态化、长效化的工作制度；五是有行之有效的监督机制，贯彻党风廉政建设责任制，党员干部自觉遵守廉洁自律各项规定，党务公开和院务公开及时透明，发挥教职工代表大会及群众组织作用，健全师生员工参与民主管理和监督的工作机制；六是有师生满意的发展业绩，教育教学质量不断提高，办学条件逐年改善，学院规模、结构、质量、效益协调发展，积极为经济建设和社会发展服务。</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四、“十三五”期间党建主要任务</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（一）充分发挥党委总揽全局、统筹协调的领导核心作用</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深入学习贯彻党的十八大和十八届三中、四中、五中全会精神、习近平总书记系列重要讲话精神，加强领导班子建设，切实提高学院党委统揽全局、驾驭学院科学发展的能力。党委要坚持在把握方向、推动发展、科学决策、营造环境等方面发挥政治核心和领导核心作用。牢牢抓好社会主义办学方向，集中精力考虑、研究和解决全局性、战略性的重大问题，抓好党的建设，维护安定团结，促使党政部门转变工作作风，形成合力。坚持和完善党委领导下的校长负责制，完善党委会、院长办公会议议事决策制度，贯彻民主集中制，严格执行“三重一大”议事规则，严明政治纪律，保证政令畅通。加强学院各级领导班子的思想、组织、作风和制度建设，不断提高各级领导班子决策水平、依法治校、选人用人、做好群众工作、应对突发事件和驾驭复杂局面的能力，为推进学院科学发展提供坚强的政治保证和组织保证，引领全院师生在内涵建设上开展扎实有效的改革和建设工作。加大党务、院务公开力度，畅通师生员工民主管理、民主监督的渠道。积极主动争取省、市党政领导机关的大力支持，进一步扩大和落实高校办学自主权，使学院在内部管理体制、人事制度改革等方面的自主权得以充分发挥。</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（二）加强干部队伍建设，提高干部队伍整体素质和管理水平</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坚持党管干部原则，认真贯彻执行中共中央新修订的《党政领导干部选拔任用工作条例》以及《干部监督四项制度》等法规性文件，在健全完善干部选拔任用工作和监督管理工作机制上下功夫，进一步完善干部选拔任用制度，择优配备配齐干部队伍，努力形成系统完备、科学规范、有效管用、简便易行的选人用人制度体系。按照省委组织部、省委教育工委《广东省高等学院领导班子和领导干部年度考核评价办法（试行）》文件要求，完善任期目标责任制，加强对学院领导班子和领导干部的考核。创新干部选拔任用途径和方式，大胆选拔任用开拓精神强、综合素质高、干事创业、奋发有为、敢于担当、德才兼备、清正廉洁的优秀年轻干部。继续推进干部工作的科学化、民主化、制度化，推动后备干部队伍和科级干部队伍建设，加大干部的教育、培养、考核和监督工作力度，建立完善体现科学发展观要求的干部考核评价体系，努力建设一支素质高、结构合理的干部队伍。以推进“创新强校”等重大工作为着力点，强化干部的服务意识、责任意识、忧患意识、大局意识，切实提高干部的管理水平和工作能力。</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（三）加强思想政治建设，进一步加强和改进思想政治教育工作</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深入开展“两学一做”学习教育活动，坚持理论联系实际的学风，坚持不懈地用党的最新理论成果武装党员干部、教育广大师生，努力提高全院师生的理论素养，为推进学院科学发展提供思想政治保障。创新思想政治教育工作的载体、途径和方法，大力推进思想政治理论课教学改革，优化全员育人、全过程育人、全方位育人的格局，深入贯彻落实党的十八届三中、四中、五中全会精神和习近平总书记系列重要讲话精神，把党的最新理论成果不断转化为思想政治教育的主要内容，积极推进马克思主义最新理论成果“进教材、进课堂、进头脑”工作，不断增强思想政治理论课教育教学的针对性、实效性和说服力、感染力。完善大学生思想政治教育机制，坚持育人为本、德育为先，把立德树人作为教育的根本任务，重视学生全面发展，强化学生职业道德和职业精神培养，加强实践育人，把社会主义核心价值体系融入学生教育和精神文明建设全过程，融入到学院党团组织各种活动中，不断满足广大师生日益增长的精神文化需求。加强学生工作队伍建设，充分发挥系（部）、学生工作部（处）、共青团、辅导员（班主任）的主力军作用。积极推进大学生心理健康教育工作。积极拓展大学生思想政治教育渠道，加大思想政治教育进网络、进宿舍、进社团工作力度，发挥以学生党、团员为骨干的青年志愿者服务活动的优势，深入开展社会实践。加强形势教育、国防教育和安全教育工作。</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（四）加强基层党组织和党员队伍建设，发挥基层党组织的战斗堡垒作用和党员的先锋模范作用</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认真贯彻《普通高等学院基层组织工作条例》，开展基层组织换届工作，选好配强书记。加强党务干部队伍建设，组织开展基层党组织工作交流活动。加强基层服务型党组织规范化建设，围绕立德树人、促进学生德智体美全面发展搞好服务，落实基层党建工作责任制，积极探索党建工作考核评价机制，全面推进“学习型、服务型、创新型”党组织建设活动，充分发挥基层党组织的战斗堡垒作用。加强学生党支部建设，充分发挥党员在学习生活、班级管理、社团等方面的先锋模范作用。加强学院业余党校建设，开展党务干部培训和入党积极分子培训，确保新党员发展质量。完善党务信息系统管理工作，提高党务管理信息化水平。</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（五）加强党内民主，增强党组织和党员的创造活力</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加强党内民主建设，着力提高党内民主建设的制度化、规范化、程序化水平。严格执行民主集中制，健全集体领导与个人分工负责相结合的制度，对学院的重大事项、重大工作、重大决策，要在充分的基层调研基础上进行集体讨论决定，确保重大决策的科学性和正确性。进一步落实学院领导班子成员民主生活会制度，深入开展批评和自我批评，积极探索扩大党内基层民主多种实现形式。发挥党代表工作室的作用，落实好党代表任期制的各项要求。尊重党员主体地位，保障党员民主权利，营造党内民主讨论环境。抓好薄弱基层党组织和困难党员的帮扶工作。完善与基层组织挂钩联系制度，进一步密切党群关系、干群关系。</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（六）加强群团组织和宣传、统战工作，建设平安和谐校园</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坚持和完善教职工代表大会制度，推动学院教职工代表大会暨工会会员代表大会制度化、规范化，确保教职工参与决策和知情、审议、监督等权力的落实，激发教职工为实现学院发展目标而努力工作的主人翁意识，营造和谐校园氛围。加强工会、共青团、妇联和学社联建设，支持他们依法按章开展工作，发挥其联系师生的桥梁和纽带作用。进一步畅通师生利益诉求渠道，维护师生合法权益。充分发挥学院“两报一站一刊”的平台作用，引导校园舆论，规范校内宣传，确保学院的政治安全和文化活动的正确方向，营造良好的校园文化氛围，充分发挥思想宣传工作在推进学院中心工作上的积极作用。充分调动各部门宣传工作的积极性和主动性，进一步加大外宣工作力度，扩大学院办学在汕头市、粤东乃至全省、全国的影响力。进一步加强统战工作，充分发挥民主党派和党外知识分子的重要作用。做好离退休干部工作，进一步加强对关心下一代工作委员会工作的领导和支持，充分发挥离退休同志在关心帮助青年教师和学生健康成长中的积极作用。</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（七）加强反腐倡廉建设，保障学院各项事业科学发展</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突出党委主体责任，认真贯彻落实省委、省政府、省纪委和教育部、省委教育工委和省教育厅关于反腐倡廉的决策部署，认真执行党风廉政建设责任制，紧紧围绕学院的改革发展稳定大局，继续深入推进廉政风险防控工作，扎实推进依法治校、规范管理工作，积极构建“依法治校”的工作格局。坚持党的群众路线，深入开展“三严三实”专题教育活动，贯彻落实好《十八届中央政治局关于改进工作作风、密切联系群众的八项规定》，进一步改进工作作风、密切联系师生，以优良的党风政风促进校风学风，保障学院健康持续发展。切实推进惩治和预防腐败体系建设，坚持“标本兼治、综合治理、惩防并举、注重预防”方针，进一步完善廉政风险防控的制度框架，不断提高学院反腐倡廉工作的科学化和规范化水平。严格执行“三重一大”制度，进一步完善“三重一大”集体决策机制、程序和议事规则，加强学院财务管理和内部审计，强化对招生、收费、基建、采购、后勤等关键环节的管理和监督。深入开展反腐倡廉宣传教育和廉政文化建设，努力营造风清气正的育人环境。深入推进学院党风廉政建设和反腐败斗争，为学院改革发展提供坚强保障。</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五、保障措施</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（一）组织保障</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强化党委的领导核心地位，保证院长依法行使职权，建立健全党委统一领导、党政分工合作、协调运行的工作机制。坚持党委领导下的校长负责制，进一步完善“党委领导、校长负责、教授治学、民主监督”的现代大学治理结构和治理模式。合理确定领导班子成员分工，明确工作职责。领导班子成员要认真执行集体决定，按照分工积极主动开展工作。加强学院基层党组织建设，大力创建基层服务型党组织，不断提高基层党组织的创造力、凝聚力和战斗力，发挥各基层党组织的政治核心作用和党支部的战斗堡垒作用，保证党的路线方针政策和学院各项决定的贯彻落实。</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（二）思想保障</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加强和改进高校意识形态工作和思想政治工作，坚持用中国特色社会主义理论体系武装师生员工头脑，培育和践行社会主义核心价值观，牢牢掌握学院意识形态工作的领导权、管理权、话语权，引导师生员工坚持正确的政治方向，坚定中国特色社会主义道路自信、理论自信、制度自信，全力维护学院稳定大局，为改革发展提供精神动力和思想保证。加强领导班子和领导干部思想政治建设、作风建设和能力建设，牢固树立和落实创新、协调、绿色、开放、共享的发展理念，不断提高领导干部思想政治素质和办学治校能力。创新党支部活动方式，提高发展党员质量，加强党员教育管理。</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（三）制度保障</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坚持党委领导下的院长负责制，坚持依法治校，以《汕头职业技术学院章程》为基本法则，进一步完善党委会议和院长办公会的运行机制，完善重大决策规则与程序，逐步完善、规范各项工作制度，形成学院领导班子依法决策、管理部门依法行政、教师依法从教的良好秩序和环境。全面推进体制、机制和手段创新，健全干部选拔任用、人事管理、教学质量保障、科研管理等制度，促进各项工作科学化、规范化。深化目标管理责任制，建立健全工作督办制、问责制，完善绩效考评体系，建立提高办公效率。全面推进管理和权力下移，实现“责权利”统一。</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 xml:space="preserve">（四）资源保障 </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关心支持基层党建工作，做到重心下移、资源下沉，使基层党组织有资源、有能力为师生服务。坚持上下联动，以上带下，整合资源，综合协调，帮助并推动基层党组织有效解决困难和问题。建立稳定的经费保障制度，把基层党组织工作经费纳入学院年度预算，支持基层党组织拓宽活动场所、创新活动方式，探索建立基层党组织服务师生的专项经费制度。</w:t>
      </w:r>
    </w:p>
    <w:p>
      <w:pPr>
        <w:spacing w:line="600" w:lineRule="exact"/>
        <w:ind w:firstLine="643" w:firstLineChars="200"/>
        <w:rPr>
          <w:rFonts w:hint="eastAsia" w:ascii="仿宋_GB2312" w:hAnsi="宋体" w:eastAsia="仿宋_GB2312" w:cs="仿宋"/>
          <w:b/>
          <w:bCs/>
          <w:sz w:val="32"/>
          <w:szCs w:val="32"/>
        </w:rPr>
      </w:pPr>
      <w:r>
        <w:rPr>
          <w:rFonts w:hint="eastAsia" w:ascii="仿宋_GB2312" w:hAnsi="宋体" w:eastAsia="仿宋_GB2312" w:cs="仿宋"/>
          <w:b/>
          <w:bCs/>
          <w:sz w:val="32"/>
          <w:szCs w:val="32"/>
        </w:rPr>
        <w:t>（五）监督改进</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为确保学院“十三五”党建规划的顺利实施，完成规划设定的目标，要加强规划的管理、控制和评估，建立科学、严谨、高效的规划运行、管理、监控和绩效评价机制，严明党的政治纪律和政治规矩，持之以恒抓好纪律、作风建设。学院党委要加强对领导班子成员贯彻执行“十三五”党建规划情况的监督，发现问题及时纠正。要发挥党员代表大会、教职工代表大会及群众组织参与民主决策、民主管理和民主监督的作用。要加强党风廉政建设和反腐败斗争，进一步落实学院党委党风廉政建设的主体责任和学院纪委党风廉政建设的监督责任，完善监督执纪问责、经济责任审计等制度，认真落实党风廉政建设责任制，强化权力运行制约和监督机制，进一步完善惩治和预防腐败体系，为学院发展积极营造风清气正的政治生态。</w:t>
      </w:r>
    </w:p>
    <w:p>
      <w:pPr>
        <w:spacing w:line="600" w:lineRule="exact"/>
        <w:ind w:firstLine="640" w:firstLineChars="200"/>
        <w:rPr>
          <w:rFonts w:hint="eastAsia" w:ascii="仿宋_GB2312" w:hAnsi="宋体" w:eastAsia="仿宋_GB2312" w:cs="仿宋"/>
          <w:sz w:val="32"/>
          <w:szCs w:val="32"/>
        </w:rPr>
      </w:pPr>
      <w:r>
        <w:rPr>
          <w:rFonts w:hint="eastAsia" w:ascii="仿宋_GB2312" w:hAnsi="宋体" w:eastAsia="仿宋_GB2312" w:cs="仿宋"/>
          <w:sz w:val="32"/>
          <w:szCs w:val="32"/>
        </w:rPr>
        <w:t>“十三五”是学院加快转型发展的关键时期，全院师生要坚定信心，振奋精神，凝心聚力，开拓进取，牢固树立和落实创新、协调、绿色、开放、共享的发展理念，紧紧抓住机遇，坚持改革创新，立足内涵发展，不断提升学院的核心竞争力，增强学院在人才培养、科学研究、服务社会和文化传承的功能，为全面推进学院教育教学事业的改革与发展，建成特色鲜明、优势明显的高水平职业技术学院而努力奋斗！</w:t>
      </w:r>
    </w:p>
    <w:p>
      <w:pPr>
        <w:spacing w:line="460" w:lineRule="exact"/>
        <w:ind w:firstLine="560" w:firstLineChars="200"/>
        <w:rPr>
          <w:rFonts w:hint="eastAsia" w:ascii="仿宋" w:hAnsi="仿宋" w:eastAsia="仿宋" w:cs="仿宋"/>
          <w:sz w:val="28"/>
          <w:szCs w:val="28"/>
        </w:rPr>
      </w:pPr>
    </w:p>
    <w:p>
      <w:pPr>
        <w:spacing w:line="600" w:lineRule="exact"/>
        <w:ind w:firstLine="627" w:firstLineChars="196"/>
        <w:rPr>
          <w:rFonts w:hint="eastAsia" w:ascii="仿宋_GB2312"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before="312" w:beforeLines="100" w:line="600" w:lineRule="exact"/>
        <w:jc w:val="center"/>
        <w:rPr>
          <w:rFonts w:hint="eastAsia" w:ascii="宋体" w:hAnsi="宋体"/>
          <w:b/>
          <w:sz w:val="36"/>
          <w:szCs w:val="36"/>
        </w:rPr>
      </w:pPr>
      <w:r>
        <w:rPr>
          <w:rFonts w:hint="eastAsia" w:ascii="宋体" w:hAnsi="宋体"/>
          <w:b/>
          <w:sz w:val="36"/>
          <w:szCs w:val="36"/>
        </w:rPr>
        <w:t>汕头职业技术学院德育教育与校园文化规划</w:t>
      </w:r>
    </w:p>
    <w:p>
      <w:pPr>
        <w:spacing w:before="312" w:beforeLines="100" w:line="600" w:lineRule="exact"/>
        <w:jc w:val="center"/>
        <w:rPr>
          <w:rFonts w:hint="eastAsia" w:ascii="宋体" w:hAnsi="宋体"/>
          <w:sz w:val="36"/>
          <w:szCs w:val="36"/>
        </w:rPr>
      </w:pPr>
      <w:bookmarkStart w:id="4" w:name="OLE_LINK1"/>
      <w:bookmarkStart w:id="5" w:name="OLE_LINK2"/>
      <w:r>
        <w:rPr>
          <w:rFonts w:hint="eastAsia" w:ascii="宋体" w:hAnsi="宋体"/>
          <w:sz w:val="36"/>
          <w:szCs w:val="36"/>
        </w:rPr>
        <w:t>（2016-2020年）</w:t>
      </w:r>
    </w:p>
    <w:bookmarkEnd w:id="4"/>
    <w:bookmarkEnd w:id="5"/>
    <w:p>
      <w:pPr>
        <w:spacing w:line="600" w:lineRule="exact"/>
        <w:jc w:val="center"/>
        <w:rPr>
          <w:rFonts w:hint="eastAsia" w:ascii="宋体" w:hAnsi="宋体"/>
          <w:sz w:val="36"/>
          <w:szCs w:val="36"/>
        </w:rPr>
      </w:pPr>
    </w:p>
    <w:p>
      <w:pPr>
        <w:spacing w:line="600" w:lineRule="exact"/>
        <w:ind w:firstLine="643" w:firstLineChars="200"/>
        <w:rPr>
          <w:rFonts w:hint="eastAsia" w:ascii="仿宋_GB2312" w:hAnsi="黑体" w:eastAsia="仿宋_GB2312"/>
          <w:b/>
          <w:sz w:val="32"/>
          <w:szCs w:val="32"/>
        </w:rPr>
      </w:pPr>
      <w:r>
        <w:rPr>
          <w:rFonts w:hint="eastAsia" w:ascii="仿宋_GB2312" w:hAnsi="黑体" w:eastAsia="仿宋_GB2312"/>
          <w:b/>
          <w:sz w:val="32"/>
          <w:szCs w:val="32"/>
        </w:rPr>
        <w:t>一、“十二五”期间发展状况</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（一）主要成就</w:t>
      </w:r>
    </w:p>
    <w:p>
      <w:pPr>
        <w:spacing w:line="600" w:lineRule="exact"/>
        <w:ind w:firstLine="790" w:firstLineChars="246"/>
        <w:rPr>
          <w:rFonts w:hint="eastAsia" w:ascii="仿宋_GB2312" w:hAnsi="仿宋" w:eastAsia="仿宋_GB2312"/>
          <w:sz w:val="32"/>
          <w:szCs w:val="32"/>
        </w:rPr>
      </w:pPr>
      <w:r>
        <w:rPr>
          <w:rFonts w:hint="eastAsia" w:ascii="仿宋_GB2312" w:hAnsi="仿宋" w:eastAsia="仿宋_GB2312"/>
          <w:b/>
          <w:sz w:val="32"/>
          <w:szCs w:val="32"/>
        </w:rPr>
        <w:t>1.学工队伍建设得到新加强。</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（1）学生工作队伍不断壮大。目前我院共有专职辅导员52人（含学生处副处以下工作人员，各系校区学生科科长），其中，一线专职辅导员27人。另聘有兼职辅导员（兼职3年）12人。</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培训交流机制不断健全。定期召开思政队伍例会；加强辅导员值班管理；完善辅导员主持本系学生大会的机制；修改完善《辅导员工作手册》；健全辅导员工作量化考核实施办法；举办了《学生心理危机及危机干预》等专题培训，选送辅导员参加各级各类业务培训，新入职辅导员必须参加省教厅的新辅导员上岗培训班学习；选派辅导员参加思想政治教育骨干培训班学习。建立参与培训的辅导员“分享”机制，确保将最新资讯传达给每个辅导员。根据《普通高等学校辅导员培训规划（2013—2017年）》制订了《汕头职业技术学院辅导员校本培训方案》。思政队伍的业务素质和育人能力得到有效增强。</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考核激励机制不断完善。不断完善《汕头职业技术学院辅导员量化考核办法》，每年开展辅导员考核工作，评选优秀辅导员，鼓励参与省市的各类评奖活动。与此同时，积极推进辅导员学历提升工程，用好用活学院教职工学历提升奖励政策，鼓励符合条件的辅导员攻读在职硕士及博士学位。目前我院一线专兼职辅导员中，硕士研究生人数20人，占54%。</w:t>
      </w:r>
    </w:p>
    <w:p>
      <w:pPr>
        <w:spacing w:line="600" w:lineRule="exact"/>
        <w:ind w:firstLine="630" w:firstLineChars="196"/>
        <w:rPr>
          <w:rFonts w:hint="eastAsia" w:ascii="仿宋_GB2312" w:hAnsi="仿宋" w:eastAsia="仿宋_GB2312"/>
          <w:sz w:val="32"/>
          <w:szCs w:val="32"/>
        </w:rPr>
      </w:pPr>
      <w:r>
        <w:rPr>
          <w:rFonts w:hint="eastAsia" w:ascii="仿宋_GB2312" w:hAnsi="仿宋" w:eastAsia="仿宋_GB2312"/>
          <w:b/>
          <w:sz w:val="32"/>
          <w:szCs w:val="32"/>
        </w:rPr>
        <w:t>2.学生思想教育拓展新载体</w:t>
      </w:r>
    </w:p>
    <w:p>
      <w:pPr>
        <w:autoSpaceDE w:val="0"/>
        <w:autoSpaceDN w:val="0"/>
        <w:adjustRightIn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1）以理论学习教化学生。我院将邓小平理论、“三个代表”重要思想、科学发展观和“我的中国梦”等学习渗透到校园文化、社会实践等各个方面，贯彻落实党的十八大、十八届三中、四中、五中全会和习近平总书记系列讲话重要精神，构筑强大精神支柱，不断激励广大青年大学生树立远大理想，坚定永远跟党走中国特色社会主义道路的信念和决心。</w:t>
      </w:r>
    </w:p>
    <w:p>
      <w:pPr>
        <w:autoSpaceDE w:val="0"/>
        <w:autoSpaceDN w:val="0"/>
        <w:adjustRightIn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2）以舆论宣传感召学生。我院注重宣传阵地建设，主动拓展思想政治教育渠道。充分运用学院心聆广播站、《汕职院青年》、学生记者站等三大校园媒体，创造良好的舆论平台。同时，开通微博、微信公众号等新媒体，立足学生的情感方式和兴趣爱好，在宣传科学理论、传播先进文化、塑造美好心灵、弘扬校园正气等方面发挥了重要的作用。</w:t>
      </w:r>
    </w:p>
    <w:p>
      <w:pPr>
        <w:autoSpaceDE w:val="0"/>
        <w:autoSpaceDN w:val="0"/>
        <w:adjustRightIn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3）以主题活动带动学生。我们抓住新中国成立60周年、建党90周年、建团90周年、汕头特区成立30周年、学院建校10周年等契机，开展了系列大型纪念教育活动。举办“弘扬与培育民族精神，加强理想信念教育”、“我与祖国共奋进，我与母校同发展”、“我爱我的祖国”、“永恒五四，青春中国”等主题教育实践活动，</w:t>
      </w:r>
      <w:r>
        <w:rPr>
          <w:rFonts w:hint="eastAsia" w:ascii="仿宋_GB2312" w:hAnsi="仿宋" w:eastAsia="仿宋_GB2312"/>
          <w:color w:val="000000"/>
          <w:sz w:val="32"/>
          <w:szCs w:val="32"/>
        </w:rPr>
        <w:t>引导青年学生树立中国特色社会主义共同理想。</w:t>
      </w:r>
    </w:p>
    <w:p>
      <w:pPr>
        <w:spacing w:line="600"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3.校园文化建设取得新突破</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校园文化具有重要的育人功能，我院大力加强大学生文化素质教育，开展丰富多彩、生动活泼、健康高雅、积极向上的科技、体育、艺术和娱乐活动，把德育与智育、体育、美育有机结合起来，寓教育于文化活动之中。我院校园品牌活动有校园十佳歌手大赛、学生“三下乡”文艺演出、五四文艺演出、学生媒体宣传月、迎新生、庆国庆文艺晚会、大学生辩论赛和宿舍文化节等活动，强化项目品牌的带动效应和影响，凝聚广大学生参与其中，受到熏陶。同时还组织了关爱留守儿童志愿服务、志愿者服务行动月、“与爱同行”无偿献血活动等活动，动员鼓励广大大学生志愿者参与其中，以自己的青春、爱心和技能，服务他人奉献社会，推动志愿服务活动朝经常化、社会化、规范化方向发展。</w:t>
      </w:r>
    </w:p>
    <w:p>
      <w:pPr>
        <w:autoSpaceDE w:val="0"/>
        <w:autoSpaceDN w:val="0"/>
        <w:adjustRightInd w:val="0"/>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为广大学生构筑了广阔的实践平台，营造了浓厚的校园文化氛围，学生社团发展迅速，社团文化百花齐放。目前全院共有院级学生组织6个，院级学生社团37个，会员人数3463人，涵盖公益实践、科学技术、学习研究、文化艺术、体育竞技五大类。5年来，学院各级学生组织在省级各类文化艺术比赛中荣获一等奖5个，二等奖12个，计算机协会在中国雅虎超级社团评比活动中获“中国年度超级社团”称号。</w:t>
      </w:r>
    </w:p>
    <w:p>
      <w:pPr>
        <w:spacing w:line="600" w:lineRule="exact"/>
        <w:ind w:firstLine="482" w:firstLineChars="150"/>
        <w:rPr>
          <w:rFonts w:hint="eastAsia" w:ascii="仿宋_GB2312" w:hAnsi="楷体" w:eastAsia="仿宋_GB2312"/>
          <w:b/>
          <w:sz w:val="32"/>
          <w:szCs w:val="32"/>
        </w:rPr>
      </w:pPr>
      <w:r>
        <w:rPr>
          <w:rFonts w:hint="eastAsia" w:ascii="仿宋_GB2312" w:hAnsi="楷体" w:eastAsia="仿宋_GB2312"/>
          <w:b/>
          <w:sz w:val="32"/>
          <w:szCs w:val="32"/>
        </w:rPr>
        <w:t>（二）存在的主要问题与不足</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1.辅导员队伍稳定性不够</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2006年实施的《普通高等学校辅导员队伍建设规定》（教育部令第24号）第三章第六条提出：高等学校总体上要按师生比不低于1：200的比例设置本、专科生一线专职辅导员岗位。目前，我院拥有全日制大专生11373名，专职辅导员仅有27人，专职辅导员与学生的比例约为1:421，未能达到1:200的国家标准。其中，男辅导员7名，女辅导员20名，35岁以上的7人，从事辅导员工作岗位十年以上的10人。从以上数据可以看出，我院辅导员队伍呈现老龄化、男女比例失调、女辅导员偏多等问题。而且女辅导员大多正值适婚、适育年龄及哺乳期，无法以更好的状态投入学生思想政治教育和管理服务工作中。由于职业发展、工作待遇、家庭生活等方面原因，我院辅导员队伍难以留住人才，不少寻求转岗发展。</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2.学生宿舍环境及配备不足</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目前院本部共有学生宿舍1018套，分布较为分散，管理难度大；部分宿舍由其他功能室改造，给学生生活带来了不便，学生怨气较大；学生宿舍的配套设备、设施差，布局不合理，报修不及时，如热水供应尤其冬天热水供应严重不足；部分校舍消防安全通道不够、消防安全设施不足等等。这些安全隐患需要引起学院的高度重视及相关部门协同整改。</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3.宿舍管理队伍力量薄弱</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院本部学生宿舍管理员岗位配备不足，与7000多名学生的规模不相匹配，达不到中央、省有关文件的规定，且大部分宿管员素质条件偏低，工资待遇偏低，一方面难以承担对学生的教育管理，另一方面也影响他们工作的主动性和积极性。长期来讲，不利于学生工作的健康持续发展。事关学生的安全管理，借鉴兄弟院校的管理经验，多所高校在健全政治辅导员队伍的基础上，建立了一支生活辅导员队伍，这也将成为我院学生工作队伍发展的方向。</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4.校园文化活动特色性不足</w:t>
      </w:r>
    </w:p>
    <w:p>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目前学院校园文化活动项目很多，文娱体育活动更是精彩纷呈，然而突出职业特点、具有学院特色的活动项目不多，内容和形式上的创新性也有待发掘。这需要我们结合高职院校特点、潮汕产业文化特色以及各学系各专业的实际，去加强开发和打造。</w:t>
      </w:r>
    </w:p>
    <w:p>
      <w:pPr>
        <w:spacing w:line="600" w:lineRule="exact"/>
        <w:ind w:firstLine="643" w:firstLineChars="200"/>
        <w:rPr>
          <w:rFonts w:hint="eastAsia" w:ascii="仿宋_GB2312" w:hAnsi="黑体" w:eastAsia="仿宋_GB2312"/>
          <w:b/>
          <w:color w:val="000000"/>
          <w:sz w:val="32"/>
          <w:szCs w:val="32"/>
        </w:rPr>
      </w:pPr>
      <w:r>
        <w:rPr>
          <w:rFonts w:hint="eastAsia" w:ascii="仿宋_GB2312" w:hAnsi="黑体" w:eastAsia="仿宋_GB2312"/>
          <w:b/>
          <w:color w:val="000000"/>
          <w:sz w:val="32"/>
          <w:szCs w:val="32"/>
        </w:rPr>
        <w:t>二、“十三五”期间面临的形势</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cs="仿宋_GB2312"/>
          <w:sz w:val="32"/>
          <w:szCs w:val="32"/>
        </w:rPr>
        <w:t>从国家和社会层面，“十三五”时期是实现全面建成小康社会宏伟目标的最后冲刺阶段，也是确保全面深化改革在重要领域和关键环节取得决定性成果的关键时期，还将是实现经济发展方式取得实质性转变的最紧迫阶段。国家出台了“十三五”发展规划，科学谋划未来五年经济政治社会的重要发展方面和举措，并具体提出要</w:t>
      </w:r>
      <w:r>
        <w:rPr>
          <w:rFonts w:hint="eastAsia" w:ascii="仿宋_GB2312" w:hAnsi="仿宋" w:eastAsia="仿宋_GB2312"/>
          <w:sz w:val="32"/>
          <w:szCs w:val="32"/>
        </w:rPr>
        <w:t>“推进职业教育产教融合”，职业教育的自身体系、模式、使命、制度以及与普通教育的关系、互动机制比以往任何时期更加清晰。从职业教育发展的层面，2014年以来，国家层面先后出台《关于加快发展现代职业教育的决定》、《现代职业教育体系建设规划 2014-2020年》，职业教育发展受到各级党委政府的高度重视。从学校层面，经过“十二五”的大发展，学院的软硬件设施不断完善，发展实力更上新台阶，学院学生工作队伍素质进一步提高，思政教育、心理咨询、就业指导、学生资助和校园文化建设等方面的机制更加完善；从学生层面，随着信息化社会的发展，大学生的思想呈现多元化，利用自媒体了解信息和自我宣传的能力不断增强，各种诱惑增多，理论学习主动性和自觉性有待加强，政治鉴别能力有待提高，学业压力、就业焦虑、家庭问题等引发的心理健康问题须予以高度关注。</w:t>
      </w:r>
    </w:p>
    <w:p>
      <w:pPr>
        <w:spacing w:line="600" w:lineRule="exact"/>
        <w:ind w:firstLine="643" w:firstLineChars="200"/>
        <w:rPr>
          <w:rFonts w:hint="eastAsia" w:ascii="仿宋_GB2312" w:hAnsi="仿宋" w:eastAsia="仿宋_GB2312"/>
          <w:b/>
          <w:color w:val="000000"/>
          <w:sz w:val="32"/>
          <w:szCs w:val="32"/>
        </w:rPr>
      </w:pPr>
      <w:r>
        <w:rPr>
          <w:rFonts w:hint="eastAsia" w:ascii="仿宋_GB2312" w:hAnsi="黑体" w:eastAsia="仿宋_GB2312"/>
          <w:b/>
          <w:color w:val="000000"/>
          <w:sz w:val="32"/>
          <w:szCs w:val="32"/>
        </w:rPr>
        <w:t>三、“十三五”期间发展的指导思想</w:t>
      </w:r>
    </w:p>
    <w:p>
      <w:pPr>
        <w:spacing w:line="60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按照《教育部思想政治工作司2016年工作要点》、《2016年广东高校思想政治教育工作要点》和《汕头职业技术学院“十三五”规划》要求，贯彻落实党的十八大、十八届三中、四中、五中全会和习近平总书记系列讲话重要精神，树立创新、协调、绿色、开放、共享的发展理念，抓住学院“十三五”规划开局和推进创新强校工程的契机，认真落实立德树人根本任务，切实做好教书育人、管理育人、服务育人、实践育人，积极探索“互联网+学生工作”的新举措、新方式，不断提升学院大学生教育管理服务工作的针对性、科学性和实效性。</w:t>
      </w:r>
    </w:p>
    <w:p>
      <w:pPr>
        <w:spacing w:line="600" w:lineRule="exact"/>
        <w:ind w:firstLine="643" w:firstLineChars="200"/>
        <w:rPr>
          <w:rFonts w:hint="eastAsia" w:ascii="仿宋_GB2312" w:hAnsi="仿宋" w:eastAsia="仿宋_GB2312"/>
          <w:b/>
          <w:sz w:val="32"/>
          <w:szCs w:val="32"/>
        </w:rPr>
      </w:pPr>
      <w:r>
        <w:rPr>
          <w:rFonts w:hint="eastAsia" w:ascii="仿宋_GB2312" w:hAnsi="黑体" w:eastAsia="仿宋_GB2312"/>
          <w:b/>
          <w:sz w:val="32"/>
          <w:szCs w:val="32"/>
        </w:rPr>
        <w:t>四、“十三五”期间的发展目标与主要任务</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（一）坚持立德树人，做实思想意识形态工作</w:t>
      </w:r>
    </w:p>
    <w:p>
      <w:pPr>
        <w:spacing w:line="600"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要抓住开展“两学一做”专题教育的契机，结合中国共产党成立95周年、红军长征胜利80周年等重大活动和重要时间节点，依托网站、QQ、微信等网络载体，引导大学生学习党纪国法和习近平总书记系列讲话、深化社会主义核心价值观的培育和践行，宣传推广中华民族优秀历史文化，通过讲座、班会课、主题团日活动等多种形式，突出爱祖国、爱集体、爱学校、爱岗位等教育内容，进一步提升学生的思想道德修养和文化情操。</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（二）扭住实践育人，提升学生奉献服务意识</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深入开展大学生“三下乡”、“每个献血者都是英雄”无偿献血活动、环境保护志愿行动、汕头存心善堂义教活动、福利院送温暖活动、“书香飘扬在希望的田野上”六一关爱留守儿童志愿服务等活动，吸引广大青年学生投身奉献服务工作，通过实践锤炼自身的世界观、人生观和价值观。</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（三）依托网络载体，拓展思想政治教育宽度</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网络思想政治教育大有可为，其能够发挥即时性、移动性、互动性等网络特点，可以契合当代青年学生“无人不网”“无处不网”“无时不网”的生活状态。我们要着力建设好符合学生需求特点、兼具教育性和安全性的网络阵地，围绕中国特色社会主义和中国梦教育，培育和践行社会主义核心价值观，依托相关网络互动社区和主题网站，着力培育典型项目，努力构建网络育人新机制。大力开展丰富多彩的网络主题教育活动，努力营造网络育人的浓厚氛围，统筹整合网络资源优势，切实把握网络舆论导向，形成网络育人工作合力，采用“学校组织、网络搭台、学生唱戏”的模式，形成更多更好的网络特色项目和品牌。秉持开放、共建、共享的理念，通过加强具有开放互动的技术平台建设，促进学生在自我建设中加强自我教育，力争取得网络育人新成效。</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（四）注重职业指导，强化职业道德素养教育</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从大学一年级开始，通过就业创业指导课以及多种形式的活动，提早指导和引导学生开展职业生涯规划，并在三年求学、实习的过程中结合专业、自身实际不断调整完善，逐步明晰自己的职业发展方向。</w:t>
      </w:r>
      <w:r>
        <w:rPr>
          <w:rFonts w:hint="eastAsia" w:ascii="仿宋_GB2312" w:hAnsi="仿宋" w:eastAsia="仿宋_GB2312"/>
          <w:kern w:val="0"/>
          <w:sz w:val="32"/>
          <w:szCs w:val="32"/>
        </w:rPr>
        <w:t>大力引导毕业生到基层就业，开展“农村教师特岗计划”、“西部计划”、“毕业生应征入伍”、“三支一扶计划”和“选聘高校毕业生到村任职”等项目。</w:t>
      </w:r>
      <w:r>
        <w:rPr>
          <w:rFonts w:hint="eastAsia" w:ascii="仿宋_GB2312" w:hAnsi="仿宋" w:eastAsia="仿宋_GB2312"/>
          <w:color w:val="000000"/>
          <w:kern w:val="0"/>
          <w:sz w:val="32"/>
          <w:szCs w:val="32"/>
        </w:rPr>
        <w:t>全面推进创新创业教育和自主创业工作，鼓励学生研究开发新技术，通过技术参股实现就业。</w:t>
      </w:r>
      <w:r>
        <w:rPr>
          <w:rFonts w:hint="eastAsia" w:ascii="仿宋_GB2312" w:hAnsi="仿宋" w:eastAsia="仿宋_GB2312"/>
          <w:sz w:val="32"/>
          <w:szCs w:val="32"/>
        </w:rPr>
        <w:t>坚持对社会就业市场的需求进行调查，了解最新的就业走向，对学院的专业设置提出科学、合理的建议。</w:t>
      </w:r>
      <w:r>
        <w:rPr>
          <w:rFonts w:hint="eastAsia" w:ascii="仿宋_GB2312" w:hAnsi="仿宋" w:eastAsia="仿宋_GB2312"/>
          <w:kern w:val="0"/>
          <w:sz w:val="32"/>
          <w:szCs w:val="32"/>
        </w:rPr>
        <w:t>进一步优化就业指导课的教学质量，争取按国家规定将就业指导课列入学生必修课，完善“创业教育与就业指导”课程建设，</w:t>
      </w:r>
      <w:r>
        <w:rPr>
          <w:rFonts w:hint="eastAsia" w:ascii="仿宋_GB2312" w:hAnsi="仿宋" w:eastAsia="仿宋_GB2312"/>
          <w:sz w:val="32"/>
          <w:szCs w:val="32"/>
        </w:rPr>
        <w:t>依托“联合办学”平台，</w:t>
      </w:r>
      <w:r>
        <w:rPr>
          <w:rFonts w:hint="eastAsia" w:ascii="仿宋_GB2312" w:hAnsi="仿宋" w:eastAsia="仿宋_GB2312"/>
          <w:kern w:val="0"/>
          <w:sz w:val="32"/>
          <w:szCs w:val="32"/>
        </w:rPr>
        <w:t>不断完善“校企合作协同培养”项目建设</w:t>
      </w:r>
      <w:r>
        <w:rPr>
          <w:rFonts w:hint="eastAsia" w:ascii="仿宋_GB2312" w:hAnsi="仿宋" w:eastAsia="仿宋_GB2312"/>
          <w:sz w:val="32"/>
          <w:szCs w:val="32"/>
        </w:rPr>
        <w:t>。</w:t>
      </w:r>
      <w:r>
        <w:rPr>
          <w:rFonts w:hint="eastAsia" w:ascii="仿宋_GB2312" w:hAnsi="仿宋" w:eastAsia="仿宋_GB2312"/>
          <w:kern w:val="0"/>
          <w:sz w:val="32"/>
          <w:szCs w:val="32"/>
        </w:rPr>
        <w:t>加强就业的信息化、法制化建设，不断完善就业工作坊和职业规划体系，通过求职前法制教育、求职中法律咨询等多种形式提高毕业生的维权意识。对离校未就业的毕业生持续提供就业信息和服务，做到“离校不离心，服务不断线”。同时，认真做好就业监测系统的使用、《毕业生就业质量年度报告》数据收集、</w:t>
      </w:r>
      <w:r>
        <w:rPr>
          <w:rFonts w:hint="eastAsia" w:ascii="仿宋_GB2312" w:hAnsi="仿宋" w:eastAsia="仿宋_GB2312"/>
          <w:color w:val="000000"/>
          <w:kern w:val="0"/>
          <w:sz w:val="32"/>
          <w:szCs w:val="32"/>
        </w:rPr>
        <w:t>毕业生</w:t>
      </w:r>
      <w:r>
        <w:rPr>
          <w:rFonts w:hint="eastAsia" w:ascii="仿宋_GB2312" w:hAnsi="仿宋" w:eastAsia="仿宋_GB2312"/>
          <w:kern w:val="0"/>
          <w:sz w:val="32"/>
          <w:szCs w:val="32"/>
        </w:rPr>
        <w:t>就业率双周报等各项工作。</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（五）推进多方联动，深化学生心理健康教育</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建立健全院系两级学生工作联动机制，加快推进“112”工作法的创新实践，进一步提高工作效率效能。进一步发挥学院心理健康三级网络作用，在系部开设心理咨询室，进一步发挥好心理中心干事、心灵驿站及各班心理委员的作用，形成心理中心、心理辅导站、心理委员三级网络心理危机干预体系，充分发挥二级网络和三级网络的作用，全面提高学校处理危机事件的能力和防范水平。通过大学生心理健康课程或专题讲座、报告以及校内媒体等广泛开展心理健康教育宣传活动，印刷印制有健康五环特色的宣传单张和学习资料重点介绍增进健康促进成长的知识和技术，传授心理调适的方法。</w:t>
      </w:r>
      <w:r>
        <w:rPr>
          <w:rFonts w:hint="eastAsia" w:ascii="仿宋_GB2312" w:hAnsi="仿宋" w:eastAsia="仿宋_GB2312" w:cs="仿宋"/>
          <w:sz w:val="32"/>
          <w:szCs w:val="32"/>
        </w:rPr>
        <w:t>要进一步加强对心理健康教育与咨询的工作力度，完善专兼职心理咨询师队伍建设，</w:t>
      </w:r>
      <w:r>
        <w:rPr>
          <w:rFonts w:hint="eastAsia" w:ascii="仿宋_GB2312" w:hAnsi="仿宋" w:eastAsia="仿宋_GB2312"/>
          <w:sz w:val="32"/>
          <w:szCs w:val="32"/>
        </w:rPr>
        <w:t>分批选送辅导员进行国家心理咨询员、师级专业培训，</w:t>
      </w:r>
      <w:r>
        <w:rPr>
          <w:rFonts w:hint="eastAsia" w:ascii="仿宋_GB2312" w:hAnsi="仿宋" w:eastAsia="仿宋_GB2312" w:cs="仿宋"/>
          <w:sz w:val="32"/>
          <w:szCs w:val="32"/>
        </w:rPr>
        <w:t>拓展多种谈心咨询方式，健全心理健康调查、心理问题跟进、心理健康档案建立、心理咨询案例编撰等机制，提高心理健康指导和咨询工作的实效性。</w:t>
      </w:r>
      <w:r>
        <w:rPr>
          <w:rFonts w:hint="eastAsia" w:ascii="仿宋_GB2312" w:hAnsi="仿宋" w:eastAsia="仿宋_GB2312"/>
          <w:sz w:val="32"/>
          <w:szCs w:val="32"/>
        </w:rPr>
        <w:t>采取有效措施保证在校学生接受必要的心理健康教育，争取将心理健康设置为公共必修课，课时达到32学时，并开设心理选修课。</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（六）锤炼职院特色，开展多彩校园文化活动</w:t>
      </w:r>
    </w:p>
    <w:p>
      <w:pPr>
        <w:spacing w:line="600" w:lineRule="exact"/>
        <w:ind w:firstLine="627" w:firstLineChars="196"/>
        <w:rPr>
          <w:rFonts w:hint="eastAsia" w:ascii="仿宋_GB2312" w:hAnsi="仿宋" w:eastAsia="仿宋_GB2312"/>
          <w:sz w:val="32"/>
          <w:szCs w:val="32"/>
        </w:rPr>
      </w:pPr>
      <w:r>
        <w:rPr>
          <w:rFonts w:hint="eastAsia" w:ascii="仿宋_GB2312" w:hAnsi="仿宋" w:eastAsia="仿宋_GB2312"/>
          <w:sz w:val="32"/>
          <w:szCs w:val="32"/>
        </w:rPr>
        <w:t>以“我的中国梦”为主题，以社会主义核心价值观教育为主要内容，以增强实效性、针对性为着力点，加强理论引导，突出实践特色，不断改进创新思想引领方式方法，大力加强学生的理想信念教育、职业道德教育。要紧紧围绕高职院校特色，突出潮汕文化特点，认真办好文化艺术节、科技节、社团节、师陶节等活动；系统开展社会实践活动，将社会实践与“挑战杯”课题、“两课”课题研究等相结合，重点开展社会调研、带薪实习；深入开展大学生“三下乡”、“每个献血者都是英雄”无偿献血活动、环境保护志愿行动、汕头存心善堂义教活动、福利院送温暖活动、“书香飘扬在希望的田野上”六一关爱留守儿童志愿服务等活动，吸引广大青年学生投身奉献服务工作，通过实践锤炼自身的世界观、人生观和价值观。</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（七）构筑宿舍家园，培养健康文明生活习惯</w:t>
      </w:r>
    </w:p>
    <w:p>
      <w:pPr>
        <w:spacing w:line="600" w:lineRule="exact"/>
        <w:ind w:firstLine="640" w:firstLineChars="200"/>
        <w:rPr>
          <w:rFonts w:hint="eastAsia" w:ascii="仿宋_GB2312" w:hAnsi="宋体" w:eastAsia="仿宋_GB2312"/>
          <w:sz w:val="32"/>
          <w:szCs w:val="32"/>
        </w:rPr>
      </w:pPr>
      <w:r>
        <w:rPr>
          <w:rFonts w:hint="eastAsia" w:ascii="仿宋_GB2312" w:hAnsi="仿宋" w:eastAsia="仿宋_GB2312"/>
          <w:sz w:val="32"/>
          <w:szCs w:val="32"/>
        </w:rPr>
        <w:t>要参照“高校学生社区管理”模式，建设宜居公寓式学生宿舍，加强学生宿舍的建设和管理，协助总务后勤部门加快宿舍改造升级，进一步明确宿舍管理人员工作职责，优化宿舍突发事件的应急预案，完善宿管人员绩效考核制度。要加强学生安全教育管理，举办防溺水、防电信诈骗、防盗、防骗等主题安全教育，定期不定期对学生宿舍开展安全检查，重点检查安全消防设施配套、消防通道等情况，不断推动安全教育、安全检查常态化发展，通过宿舍文化节等活动，营造健康、卫生、文明的宿舍环境，积极构建平安和谐校园。建议</w:t>
      </w:r>
      <w:r>
        <w:rPr>
          <w:rFonts w:hint="eastAsia" w:ascii="仿宋_GB2312" w:hAnsi="宋体" w:eastAsia="仿宋_GB2312"/>
          <w:sz w:val="32"/>
          <w:szCs w:val="32"/>
        </w:rPr>
        <w:t>把学生宿舍的日常管理委托给有一定资质的物业公司进行管理，我院负责日常工作的安排、监督和考核。把宿管员管理和学生管理工作交给承包方,依照合同(协议)要求,学院对其进行监督。宿舍日常管理与监管考核分开，更符合相互牵制的管理要求。</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（八）实施精准资助，做好学生资助服务工作</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学生资助管理工作在原有工作的基础上，进一步完善以国家助学贷款为主的包括“奖、贷、助、补、减”和“绿色通道”在内的家庭经济困难学生资助体系，扎实推进对家庭经济困难学生资助的各项工作，切实把“一切为了学生”的精准资助工作理念贯彻落实到每一项日常工作中。积极宣传建立健全家庭经济困难学生资助政策体系的重大意义、政策目标、基本原则、主要内容和相关工作要求。</w:t>
      </w:r>
      <w:r>
        <w:rPr>
          <w:rFonts w:hint="eastAsia" w:ascii="仿宋_GB2312" w:hAnsi="仿宋" w:eastAsia="仿宋_GB2312"/>
          <w:color w:val="000000"/>
          <w:sz w:val="32"/>
          <w:szCs w:val="32"/>
        </w:rPr>
        <w:t>坚持资助与育人相结合，切实做好家庭经济困难大学生的诚信教育工作，</w:t>
      </w:r>
      <w:r>
        <w:rPr>
          <w:rFonts w:hint="eastAsia" w:ascii="仿宋_GB2312" w:hAnsi="仿宋" w:eastAsia="仿宋_GB2312" w:cs="宋体"/>
          <w:kern w:val="0"/>
          <w:sz w:val="32"/>
          <w:szCs w:val="32"/>
        </w:rPr>
        <w:t>通过开设各系（校区）诚信教育专题讲座，</w:t>
      </w:r>
      <w:r>
        <w:rPr>
          <w:rFonts w:hint="eastAsia" w:ascii="仿宋_GB2312" w:hAnsi="仿宋" w:eastAsia="仿宋_GB2312"/>
          <w:color w:val="000000"/>
          <w:sz w:val="32"/>
          <w:szCs w:val="32"/>
        </w:rPr>
        <w:t>把学生诚信教育工作与日常资助工作有机结合起来。借助学院建立的校友会、社会相关企业等方面的支持，多渠道扩大资助范围，为学院经济困难的学生提供更多勤工俭学的机会。</w:t>
      </w:r>
    </w:p>
    <w:p>
      <w:pPr>
        <w:spacing w:line="600" w:lineRule="exact"/>
        <w:ind w:firstLine="643" w:firstLineChars="200"/>
        <w:rPr>
          <w:rFonts w:hint="eastAsia" w:ascii="仿宋_GB2312" w:hAnsi="楷体" w:eastAsia="仿宋_GB2312"/>
          <w:b/>
          <w:sz w:val="32"/>
          <w:szCs w:val="32"/>
        </w:rPr>
      </w:pPr>
      <w:r>
        <w:rPr>
          <w:rFonts w:hint="eastAsia" w:ascii="仿宋_GB2312" w:hAnsi="楷体" w:eastAsia="仿宋_GB2312"/>
          <w:b/>
          <w:sz w:val="32"/>
          <w:szCs w:val="32"/>
        </w:rPr>
        <w:t>（九）加强队伍建设，完善学生工作管理架构</w:t>
      </w:r>
    </w:p>
    <w:p>
      <w:pPr>
        <w:spacing w:line="600"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深化政治辅导员校本培训机制，结合学院实际和高职学生特点，通过专家授课、主题讲座、辅导员论坛、拓展训练以及实践、考察与交流等多种形式，从思想认识、业务能力、作风修养等方面全面加强辅导员校本培训，力争建立起一个内容完善、形式多样、科学合理的培训体系。积极组织辅导员参加各类辅导员职业能力大赛，以比赛促工作，带动学院学生工作水平的全面提升。鼓励辅导员通过考研、考博提升个人学历，提高个人理论学习水平和业务工作能力。要进一步完善政治辅导员的奖励机制，有效落实政治辅导员“双肩挑”制度，不断增强他们对岗位的认同感和归属感。通过多措并举，努力造就一支政治强、业务精、纪律严、作风正的高水平辅导员队伍，更好服务学院大学生的健康成长。</w:t>
      </w:r>
    </w:p>
    <w:p>
      <w:pPr>
        <w:spacing w:line="600" w:lineRule="exact"/>
        <w:ind w:firstLine="643" w:firstLineChars="200"/>
        <w:rPr>
          <w:rFonts w:hint="eastAsia" w:ascii="仿宋_GB2312" w:hAnsi="黑体" w:eastAsia="仿宋_GB2312"/>
          <w:b/>
          <w:color w:val="000000"/>
          <w:sz w:val="32"/>
          <w:szCs w:val="32"/>
        </w:rPr>
      </w:pPr>
      <w:r>
        <w:rPr>
          <w:rFonts w:hint="eastAsia" w:ascii="仿宋_GB2312" w:hAnsi="黑体" w:eastAsia="仿宋_GB2312"/>
          <w:b/>
          <w:color w:val="000000"/>
          <w:sz w:val="32"/>
          <w:szCs w:val="32"/>
        </w:rPr>
        <w:t>五、保障措施</w:t>
      </w:r>
    </w:p>
    <w:p>
      <w:pPr>
        <w:spacing w:line="600" w:lineRule="exact"/>
        <w:ind w:firstLine="643" w:firstLineChars="200"/>
        <w:rPr>
          <w:rFonts w:hint="eastAsia" w:ascii="仿宋_GB2312" w:hAnsi="楷体" w:eastAsia="仿宋_GB2312"/>
          <w:b/>
          <w:color w:val="000000"/>
          <w:sz w:val="32"/>
          <w:szCs w:val="32"/>
        </w:rPr>
      </w:pPr>
      <w:r>
        <w:rPr>
          <w:rFonts w:hint="eastAsia" w:ascii="仿宋_GB2312" w:hAnsi="楷体" w:eastAsia="仿宋_GB2312"/>
          <w:b/>
          <w:color w:val="000000"/>
          <w:sz w:val="32"/>
          <w:szCs w:val="32"/>
        </w:rPr>
        <w:t>（一）思想重视，全员行动</w:t>
      </w:r>
    </w:p>
    <w:p>
      <w:pPr>
        <w:spacing w:line="600" w:lineRule="exact"/>
        <w:ind w:firstLine="640" w:firstLineChars="2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要将学习贯彻十八届五中全会和国家“十三五”规划纲要精神作为重中之重，进一步认清形势，转变观念，明确思路，并将其转化为学生工作规划内容。把规划编制作为学生管理工作统一思想、凝心聚力的重要途径，作为加强社会合作、扩大社会服务的重要载体，主动听取各方面的意见和建议。同时，要注意加强统筹、科学论证，对重大事项作出审慎判断、合理取舍，切实提升规划编制水平。</w:t>
      </w:r>
    </w:p>
    <w:p>
      <w:pPr>
        <w:spacing w:line="600" w:lineRule="exact"/>
        <w:ind w:firstLine="643" w:firstLineChars="200"/>
        <w:rPr>
          <w:rFonts w:hint="eastAsia" w:ascii="仿宋_GB2312" w:hAnsi="楷体" w:eastAsia="仿宋_GB2312"/>
          <w:b/>
          <w:color w:val="000000"/>
          <w:sz w:val="32"/>
          <w:szCs w:val="32"/>
        </w:rPr>
      </w:pPr>
      <w:r>
        <w:rPr>
          <w:rFonts w:hint="eastAsia" w:ascii="仿宋_GB2312" w:hAnsi="楷体" w:eastAsia="仿宋_GB2312"/>
          <w:b/>
          <w:color w:val="000000"/>
          <w:sz w:val="32"/>
          <w:szCs w:val="32"/>
        </w:rPr>
        <w:t>（二）机构健全，完善制度</w:t>
      </w:r>
    </w:p>
    <w:p>
      <w:pPr>
        <w:spacing w:line="60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要加快党委学生工作部、学生工作处的学工党政机构建设，按照学院党委的部署和职能赋予，统筹协调学院学生工作，积极动员各方力量参与到大学生教育、管理、服务工作中。要科学引导就业指导中心、心理健康教育中心、团委等机构的发展，做好思政科、宿管科、学生资助中心等内设机构的建设，进一步提高学院学生工作体系。同时，要立足学生工作各线路，做好院系两级学生工作制度的梳理和分析。本着“简单有效”原则，以《汕头职业技术学院章程》的准绳，制订或修订一批学工规章制度，研究撤销个别不必要的制度，促使覆盖思想教育、心理教育、安全教育、日常管理、 就业指导、宿舍管理、队伍建设等方面的学生制度体系，有效规范学院学生管理工作。</w:t>
      </w:r>
    </w:p>
    <w:p>
      <w:pPr>
        <w:spacing w:line="600" w:lineRule="exact"/>
        <w:ind w:firstLine="643" w:firstLineChars="200"/>
        <w:rPr>
          <w:rFonts w:hint="eastAsia" w:ascii="仿宋_GB2312" w:hAnsi="楷体" w:eastAsia="仿宋_GB2312"/>
          <w:b/>
          <w:color w:val="000000"/>
          <w:sz w:val="32"/>
          <w:szCs w:val="32"/>
        </w:rPr>
      </w:pPr>
      <w:r>
        <w:rPr>
          <w:rFonts w:hint="eastAsia" w:ascii="仿宋_GB2312" w:hAnsi="楷体" w:eastAsia="仿宋_GB2312"/>
          <w:b/>
          <w:color w:val="000000"/>
          <w:sz w:val="32"/>
          <w:szCs w:val="32"/>
        </w:rPr>
        <w:t>（三）做好监控，保证质量</w:t>
      </w:r>
    </w:p>
    <w:p>
      <w:pPr>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color w:val="000000"/>
          <w:sz w:val="32"/>
          <w:szCs w:val="32"/>
        </w:rPr>
        <w:t>要配合做好规划的执行落实机制建设，按年度、学期制订工作计划，细化工作任务，建立督办机制，确保事事有落实、时时有进展、项项有验收；要将德育教育和校园文化规划有机纳入学院的“十三五”的大规划中，结合学院和学生的实际，做好各项工作任务、要求的动态调整和科学优化，按照学院党政决策，强化执行，确保质量，提升教育管理水平。要加强宣传、解读学院学生工作的“十三</w:t>
      </w:r>
      <w:r>
        <w:rPr>
          <w:rFonts w:hint="eastAsia" w:ascii="仿宋_GB2312" w:hAnsi="仿宋" w:eastAsia="仿宋_GB2312" w:cs="仿宋"/>
          <w:sz w:val="32"/>
          <w:szCs w:val="32"/>
        </w:rPr>
        <w:t>五”规划，积极动员学院各部门、各位教职工投身大学生思想教育工作和校园文化建设工作，努力形成全校师生团结奋斗，共同推进规划落实的良好局面。</w:t>
      </w: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adjustRightInd w:val="0"/>
        <w:snapToGrid w:val="0"/>
        <w:spacing w:line="540" w:lineRule="exact"/>
        <w:jc w:val="center"/>
        <w:rPr>
          <w:rFonts w:hint="eastAsia" w:ascii="宋体" w:hAnsi="宋体" w:cs="宋体"/>
          <w:b/>
          <w:kern w:val="0"/>
          <w:sz w:val="36"/>
          <w:szCs w:val="36"/>
          <w:lang w:val="en"/>
        </w:rPr>
      </w:pPr>
      <w:r>
        <w:rPr>
          <w:rFonts w:hint="eastAsia" w:ascii="宋体" w:hAnsi="宋体" w:cs="宋体"/>
          <w:b/>
          <w:kern w:val="0"/>
          <w:sz w:val="36"/>
          <w:szCs w:val="36"/>
          <w:lang w:val="en"/>
        </w:rPr>
        <w:t>汕头职业技术学院“十三五”人才队伍建设规划</w:t>
      </w:r>
    </w:p>
    <w:p>
      <w:pPr>
        <w:spacing w:before="312" w:beforeLines="100" w:line="600" w:lineRule="exact"/>
        <w:jc w:val="center"/>
        <w:rPr>
          <w:rFonts w:hint="eastAsia" w:ascii="宋体" w:hAnsi="宋体"/>
          <w:sz w:val="36"/>
          <w:szCs w:val="36"/>
        </w:rPr>
      </w:pPr>
      <w:r>
        <w:rPr>
          <w:rFonts w:hint="eastAsia" w:ascii="宋体" w:hAnsi="宋体"/>
          <w:sz w:val="36"/>
          <w:szCs w:val="36"/>
        </w:rPr>
        <w:t>（2016-2020年）</w:t>
      </w:r>
    </w:p>
    <w:p>
      <w:pPr>
        <w:adjustRightInd w:val="0"/>
        <w:snapToGrid w:val="0"/>
        <w:spacing w:line="540" w:lineRule="exact"/>
        <w:jc w:val="center"/>
        <w:rPr>
          <w:rFonts w:hint="eastAsia" w:ascii="宋体" w:hAnsi="宋体" w:cs="宋体"/>
          <w:b/>
          <w:kern w:val="0"/>
          <w:sz w:val="36"/>
          <w:szCs w:val="36"/>
          <w:lang w:val="en"/>
        </w:rPr>
      </w:pPr>
    </w:p>
    <w:p>
      <w:pPr>
        <w:spacing w:line="600" w:lineRule="exact"/>
        <w:ind w:firstLine="643" w:firstLineChars="200"/>
        <w:rPr>
          <w:rFonts w:hint="eastAsia" w:ascii="仿宋_GB2312" w:hAnsi="楷体" w:eastAsia="仿宋_GB2312" w:cs="宋体"/>
          <w:b/>
          <w:kern w:val="0"/>
          <w:sz w:val="32"/>
          <w:szCs w:val="32"/>
        </w:rPr>
      </w:pPr>
      <w:r>
        <w:rPr>
          <w:rFonts w:hint="eastAsia" w:ascii="仿宋_GB2312" w:hAnsi="楷体" w:eastAsia="仿宋_GB2312" w:cs="宋体"/>
          <w:b/>
          <w:kern w:val="0"/>
          <w:sz w:val="32"/>
          <w:szCs w:val="32"/>
        </w:rPr>
        <w:t>一、“十二五”期间的发展状况</w:t>
      </w:r>
    </w:p>
    <w:p>
      <w:pPr>
        <w:spacing w:line="600" w:lineRule="exact"/>
        <w:ind w:firstLine="482" w:firstLineChars="150"/>
        <w:rPr>
          <w:rFonts w:hint="eastAsia" w:ascii="仿宋_GB2312" w:hAnsi="楷体" w:eastAsia="仿宋_GB2312" w:cs="宋体"/>
          <w:kern w:val="0"/>
          <w:sz w:val="32"/>
          <w:szCs w:val="32"/>
        </w:rPr>
      </w:pPr>
      <w:r>
        <w:rPr>
          <w:rFonts w:hint="eastAsia" w:ascii="仿宋_GB2312" w:hAnsi="楷体" w:eastAsia="仿宋_GB2312" w:cs="宋体"/>
          <w:b/>
          <w:kern w:val="0"/>
          <w:sz w:val="32"/>
          <w:szCs w:val="32"/>
        </w:rPr>
        <w:t>（一）主要成就</w:t>
      </w:r>
    </w:p>
    <w:p>
      <w:pPr>
        <w:spacing w:line="600" w:lineRule="exact"/>
        <w:ind w:firstLine="480" w:firstLineChars="150"/>
        <w:rPr>
          <w:rFonts w:hint="eastAsia" w:ascii="仿宋_GB2312" w:eastAsia="仿宋_GB2312"/>
          <w:sz w:val="32"/>
          <w:szCs w:val="32"/>
        </w:rPr>
      </w:pPr>
      <w:r>
        <w:rPr>
          <w:rFonts w:hint="eastAsia" w:ascii="仿宋_GB2312" w:eastAsia="仿宋_GB2312"/>
          <w:sz w:val="32"/>
          <w:szCs w:val="32"/>
        </w:rPr>
        <w:t>“十二五”期间，学院牢固“树立人才是第一资源”的理念，大力实施“人才强校”战略，把重视培养、引进聚集优秀人才作为实现学院科学发展最为关键的战略任务来抓，经过不懈努力，我院人才队伍不断壮大，人才培养、使用、引进（选拔）、管理的新机制已初步建立。具体体现在：</w:t>
      </w:r>
    </w:p>
    <w:p>
      <w:pPr>
        <w:spacing w:line="600" w:lineRule="exact"/>
        <w:ind w:firstLine="643" w:firstLineChars="200"/>
        <w:rPr>
          <w:rFonts w:hint="eastAsia" w:ascii="仿宋_GB2312" w:eastAsia="仿宋_GB2312"/>
          <w:sz w:val="32"/>
          <w:szCs w:val="32"/>
        </w:rPr>
      </w:pPr>
      <w:r>
        <w:rPr>
          <w:rFonts w:hint="eastAsia" w:ascii="仿宋_GB2312" w:eastAsia="仿宋_GB2312"/>
          <w:b/>
          <w:sz w:val="32"/>
          <w:szCs w:val="32"/>
        </w:rPr>
        <w:t>干部队伍建设方面</w:t>
      </w:r>
      <w:r>
        <w:rPr>
          <w:rFonts w:hint="eastAsia" w:ascii="仿宋_GB2312" w:eastAsia="仿宋_GB2312"/>
          <w:sz w:val="32"/>
          <w:szCs w:val="32"/>
        </w:rPr>
        <w:t>，</w:t>
      </w:r>
      <w:r>
        <w:rPr>
          <w:rFonts w:hint="eastAsia" w:ascii="仿宋_GB2312" w:hAnsi="宋体" w:eastAsia="仿宋_GB2312"/>
          <w:sz w:val="32"/>
          <w:szCs w:val="32"/>
        </w:rPr>
        <w:t>紧紧围绕书记项目的目标要求，</w:t>
      </w:r>
      <w:r>
        <w:rPr>
          <w:rFonts w:hint="eastAsia" w:ascii="仿宋_GB2312" w:eastAsia="仿宋_GB2312"/>
          <w:sz w:val="32"/>
          <w:szCs w:val="32"/>
        </w:rPr>
        <w:t>通过制度建设，对</w:t>
      </w:r>
      <w:r>
        <w:rPr>
          <w:rFonts w:ascii="仿宋_GB2312" w:eastAsia="仿宋_GB2312"/>
          <w:sz w:val="32"/>
          <w:szCs w:val="32"/>
        </w:rPr>
        <w:t>干部任前档案审核</w:t>
      </w:r>
      <w:r>
        <w:rPr>
          <w:rFonts w:hint="eastAsia" w:ascii="仿宋_GB2312" w:eastAsia="仿宋_GB2312"/>
          <w:sz w:val="32"/>
          <w:szCs w:val="32"/>
        </w:rPr>
        <w:t>、任前谈话、提醒谈话、诫勉谈话和函询、述职述廉、请假报告和个人重大事项报告等制度的不断完善和严格实行，进一步规范了干部人事管理；通过加大干部选拔力度，结合学院发展需求，着力解决中层领导岗位缺位的问题，截止2015年底，干部配备率提升至66.9%，进一步充实了学院干部队伍；通过</w:t>
      </w:r>
      <w:r>
        <w:rPr>
          <w:rFonts w:ascii="仿宋_GB2312" w:eastAsia="仿宋_GB2312"/>
          <w:sz w:val="32"/>
          <w:szCs w:val="32"/>
        </w:rPr>
        <w:t>加大干部队伍交流轮岗力度</w:t>
      </w:r>
      <w:r>
        <w:rPr>
          <w:rFonts w:hint="eastAsia" w:ascii="仿宋_GB2312" w:eastAsia="仿宋_GB2312"/>
          <w:sz w:val="32"/>
          <w:szCs w:val="32"/>
        </w:rPr>
        <w:t>，仅2014-2015年</w:t>
      </w:r>
      <w:r>
        <w:rPr>
          <w:rFonts w:ascii="仿宋_GB2312" w:eastAsia="仿宋_GB2312"/>
          <w:sz w:val="32"/>
          <w:szCs w:val="32"/>
        </w:rPr>
        <w:t>实行培养性</w:t>
      </w:r>
      <w:r>
        <w:rPr>
          <w:rFonts w:hint="eastAsia" w:ascii="仿宋_GB2312" w:eastAsia="仿宋_GB2312"/>
          <w:sz w:val="32"/>
          <w:szCs w:val="32"/>
        </w:rPr>
        <w:t>、</w:t>
      </w:r>
      <w:r>
        <w:rPr>
          <w:rFonts w:ascii="仿宋_GB2312" w:eastAsia="仿宋_GB2312"/>
          <w:sz w:val="32"/>
          <w:szCs w:val="32"/>
        </w:rPr>
        <w:t>业务性</w:t>
      </w:r>
      <w:r>
        <w:rPr>
          <w:rFonts w:hint="eastAsia" w:ascii="仿宋_GB2312" w:eastAsia="仿宋_GB2312"/>
          <w:sz w:val="32"/>
          <w:szCs w:val="32"/>
        </w:rPr>
        <w:t>和预防性多形式的干部</w:t>
      </w:r>
      <w:r>
        <w:rPr>
          <w:rFonts w:ascii="仿宋_GB2312" w:eastAsia="仿宋_GB2312"/>
          <w:sz w:val="32"/>
          <w:szCs w:val="32"/>
        </w:rPr>
        <w:t>交流</w:t>
      </w:r>
      <w:r>
        <w:rPr>
          <w:rFonts w:hint="eastAsia" w:ascii="仿宋_GB2312" w:eastAsia="仿宋_GB2312"/>
          <w:sz w:val="32"/>
          <w:szCs w:val="32"/>
        </w:rPr>
        <w:t>共14人次，进一步</w:t>
      </w:r>
      <w:r>
        <w:rPr>
          <w:rFonts w:ascii="仿宋_GB2312" w:eastAsia="仿宋_GB2312"/>
          <w:sz w:val="32"/>
          <w:szCs w:val="32"/>
        </w:rPr>
        <w:t>激发</w:t>
      </w:r>
      <w:r>
        <w:rPr>
          <w:rFonts w:hint="eastAsia" w:ascii="仿宋_GB2312" w:eastAsia="仿宋_GB2312"/>
          <w:sz w:val="32"/>
          <w:szCs w:val="32"/>
        </w:rPr>
        <w:t>了</w:t>
      </w:r>
      <w:r>
        <w:rPr>
          <w:rFonts w:ascii="仿宋_GB2312" w:eastAsia="仿宋_GB2312"/>
          <w:sz w:val="32"/>
          <w:szCs w:val="32"/>
        </w:rPr>
        <w:t>干部队伍</w:t>
      </w:r>
      <w:r>
        <w:rPr>
          <w:rFonts w:hint="eastAsia" w:ascii="仿宋_GB2312" w:eastAsia="仿宋_GB2312"/>
          <w:sz w:val="32"/>
          <w:szCs w:val="32"/>
        </w:rPr>
        <w:t>活力；通过加大干部培养力度，严格落实干部培训制度，2015年干部调训率达100%，并结合学院群众教育实践活动和“三严三实”专题教育活动对干部进行从严教育，进一步提升了干部综合素质。</w:t>
      </w:r>
    </w:p>
    <w:p>
      <w:pPr>
        <w:spacing w:line="600" w:lineRule="exact"/>
        <w:ind w:firstLine="630" w:firstLineChars="196"/>
        <w:rPr>
          <w:rFonts w:hint="eastAsia" w:ascii="仿宋_GB2312" w:eastAsia="仿宋_GB2312"/>
          <w:sz w:val="32"/>
          <w:szCs w:val="32"/>
        </w:rPr>
      </w:pPr>
      <w:r>
        <w:rPr>
          <w:rFonts w:hint="eastAsia" w:ascii="仿宋_GB2312" w:eastAsia="仿宋_GB2312"/>
          <w:b/>
          <w:sz w:val="32"/>
          <w:szCs w:val="32"/>
        </w:rPr>
        <w:t>师资队伍建设方面</w:t>
      </w:r>
      <w:r>
        <w:rPr>
          <w:rFonts w:hint="eastAsia" w:ascii="仿宋_GB2312" w:eastAsia="仿宋_GB2312"/>
          <w:sz w:val="32"/>
          <w:szCs w:val="32"/>
        </w:rPr>
        <w:t>，</w:t>
      </w:r>
      <w:r>
        <w:rPr>
          <w:rFonts w:ascii="仿宋_GB2312" w:eastAsia="仿宋_GB2312"/>
          <w:sz w:val="32"/>
          <w:szCs w:val="32"/>
        </w:rPr>
        <w:t>学院坚持培养与引进相结合</w:t>
      </w:r>
      <w:r>
        <w:rPr>
          <w:rFonts w:hint="eastAsia" w:ascii="仿宋_GB2312" w:eastAsia="仿宋_GB2312"/>
          <w:sz w:val="32"/>
          <w:szCs w:val="32"/>
        </w:rPr>
        <w:t>，初步形成人才引进和培养的良好机制，引进和培养了一批较高层次的人才，师资队伍的学历和学位层次得到较大幅度的提升。截止2015年底，我院有专任教师489人，其中正高4人，副高127 人，副高以上占专任教师的26.8%。讲师285人，占专任教师58.3%。硕士以上201人（其中，博士5人，博士后1人），占专任教师的41.1%；“双师型”教师队伍建设机制初步建立，兼职教师队伍管理不断规范化，截止2015年底，</w:t>
      </w:r>
      <w:r>
        <w:rPr>
          <w:rFonts w:hint="eastAsia" w:ascii="仿宋_GB2312" w:hAnsi="宋体" w:eastAsia="仿宋_GB2312"/>
          <w:sz w:val="32"/>
          <w:szCs w:val="32"/>
        </w:rPr>
        <w:t>我院有双师素质教师163人，占专业课教师的比例39.3%，</w:t>
      </w:r>
      <w:r>
        <w:rPr>
          <w:rFonts w:hint="eastAsia" w:ascii="仿宋_GB2312" w:eastAsia="仿宋_GB2312"/>
          <w:sz w:val="32"/>
          <w:szCs w:val="32"/>
        </w:rPr>
        <w:t>兼职</w:t>
      </w:r>
      <w:r>
        <w:rPr>
          <w:rFonts w:hint="eastAsia" w:ascii="仿宋_GB2312" w:hAnsi="宋体" w:eastAsia="仿宋_GB2312"/>
          <w:sz w:val="32"/>
          <w:szCs w:val="32"/>
        </w:rPr>
        <w:t>教师有100多人</w:t>
      </w:r>
      <w:r>
        <w:rPr>
          <w:rFonts w:hint="eastAsia" w:ascii="仿宋_GB2312" w:eastAsia="仿宋_GB2312"/>
          <w:sz w:val="32"/>
          <w:szCs w:val="32"/>
        </w:rPr>
        <w:t>；</w:t>
      </w:r>
      <w:r>
        <w:rPr>
          <w:rFonts w:hint="eastAsia" w:ascii="仿宋_GB2312" w:hAnsi="宋体" w:eastAsia="仿宋_GB2312"/>
          <w:sz w:val="32"/>
          <w:szCs w:val="32"/>
        </w:rPr>
        <w:t>教师培养力度不断加大，</w:t>
      </w:r>
      <w:r>
        <w:rPr>
          <w:rFonts w:hint="eastAsia" w:ascii="仿宋_GB2312" w:eastAsia="仿宋_GB2312"/>
          <w:sz w:val="32"/>
          <w:szCs w:val="32"/>
        </w:rPr>
        <w:t>专业带头人、优秀骨干教师和中青年教师培养机制逐步完善，</w:t>
      </w:r>
      <w:r>
        <w:rPr>
          <w:rFonts w:hint="eastAsia" w:ascii="仿宋_GB2312" w:hAnsi="宋体" w:eastAsia="仿宋_GB2312"/>
          <w:sz w:val="32"/>
          <w:szCs w:val="32"/>
        </w:rPr>
        <w:t>截止2015年底，培养了国内访问学者5名，“千百十人才培养工程”的校级培养对象3人，教师参训率达100%；专业技术人员竞聘上岗机制运作良好，截止2015年底，共有121位具有副高职称的专业技术人员、282位中级职称的专业技术人员受聘到高一级专业技术岗位，教师的工作积极性得以有效提升；师德师风建设得以重视，教师师德师风评价体系基本完善；创新强校工程“高素质教师队伍建设”类项目已经启动，共启动项目5个，奠定了下一阶段师资队伍建设的基础；教师管理的制度建设开始起步，已取得一定成效。</w:t>
      </w:r>
    </w:p>
    <w:p>
      <w:pPr>
        <w:spacing w:line="600" w:lineRule="exact"/>
        <w:ind w:firstLine="482" w:firstLineChars="150"/>
        <w:rPr>
          <w:rFonts w:hint="eastAsia" w:ascii="仿宋_GB2312" w:hAnsi="楷体" w:eastAsia="仿宋_GB2312" w:cs="宋体"/>
          <w:kern w:val="0"/>
          <w:sz w:val="32"/>
          <w:szCs w:val="32"/>
        </w:rPr>
      </w:pPr>
      <w:r>
        <w:rPr>
          <w:rFonts w:hint="eastAsia" w:ascii="仿宋_GB2312" w:hAnsi="楷体" w:eastAsia="仿宋_GB2312" w:cs="宋体"/>
          <w:b/>
          <w:kern w:val="0"/>
          <w:sz w:val="32"/>
          <w:szCs w:val="32"/>
        </w:rPr>
        <w:t>（二）存在的主要问题与不足</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总的看，经过5年的建设发展，学院人才队伍建设取得了较大的成绩，奠定了一定的基础，但由于各种原因，学院人才队伍建设仍较滞后，与学院面临的形势任务、发展需要仍不相适应。人才队伍结构仍有待优化，高学历、高职称人才仍然欠缺，人才培养机制也有待完善，考核评价机制需要进一步完善。具体体现在：</w:t>
      </w:r>
    </w:p>
    <w:p>
      <w:pPr>
        <w:spacing w:line="600" w:lineRule="exact"/>
        <w:ind w:firstLine="643" w:firstLineChars="200"/>
        <w:rPr>
          <w:rFonts w:hint="eastAsia" w:ascii="仿宋_GB2312" w:eastAsia="仿宋_GB2312"/>
          <w:sz w:val="32"/>
          <w:szCs w:val="32"/>
        </w:rPr>
      </w:pPr>
      <w:r>
        <w:rPr>
          <w:rFonts w:hint="eastAsia" w:ascii="仿宋_GB2312" w:eastAsia="仿宋_GB2312"/>
          <w:b/>
          <w:sz w:val="32"/>
          <w:szCs w:val="32"/>
        </w:rPr>
        <w:t>干部队伍建设方面</w:t>
      </w:r>
      <w:r>
        <w:rPr>
          <w:rFonts w:hint="eastAsia" w:ascii="仿宋_GB2312" w:eastAsia="仿宋_GB2312"/>
          <w:sz w:val="32"/>
          <w:szCs w:val="32"/>
        </w:rPr>
        <w:t>，2008-2012年我院干部选拔工作基本处于停滞状态，导致干部缺位问题较严重，虽然2013年以来加大了干部选拔工作力度，但目前的总体缺位率仍有33.1%；干部队伍结构不尽合理，从我院当前的现状来看，学院干部队伍以男性、45岁以上、本科学历、中级和副高职称为主，硕士以上学历仅占11.1%，正高职称仅占3%，40岁以下仅占20.2%，高学历、高职称的年轻干部略有不足；干部开拓创新意识有待提高，执行力有待提升，部分干部受知识水平和自身能力所限，在工作中开拓性、主动性不够，进取精神不强，执行力较弱。</w:t>
      </w:r>
    </w:p>
    <w:p>
      <w:pPr>
        <w:spacing w:line="600" w:lineRule="exact"/>
        <w:ind w:firstLine="639" w:firstLineChars="199"/>
        <w:rPr>
          <w:rFonts w:hint="eastAsia" w:ascii="仿宋_GB2312" w:eastAsia="仿宋_GB2312"/>
          <w:sz w:val="32"/>
          <w:szCs w:val="32"/>
        </w:rPr>
      </w:pPr>
      <w:r>
        <w:rPr>
          <w:rFonts w:hint="eastAsia" w:ascii="仿宋_GB2312" w:eastAsia="仿宋_GB2312"/>
          <w:b/>
          <w:sz w:val="32"/>
          <w:szCs w:val="32"/>
        </w:rPr>
        <w:t>师资队伍建设方面</w:t>
      </w:r>
      <w:r>
        <w:rPr>
          <w:rFonts w:hint="eastAsia" w:ascii="仿宋_GB2312" w:eastAsia="仿宋_GB2312"/>
          <w:sz w:val="32"/>
          <w:szCs w:val="32"/>
        </w:rPr>
        <w:t>，我院目前专任教师人数仍不能满足现有教学需求，生师比为1:28.5，与国家标准1:18差距较大，还存在教师数量学科分布不平衡的问题，建筑工程管理等热门专业的师资尤为欠缺；受区域、地方经济发展和工资待遇等因素影响，高层次人才的引进难度较大，在专任教师中，博士学位者仅占0.5%，副高职称以上者仅占28.2%，特别是正高职称仅占0.2%，导致高水平专业带头人十分缺乏，甚至</w:t>
      </w:r>
      <w:r>
        <w:rPr>
          <w:rFonts w:ascii="仿宋_GB2312" w:eastAsia="仿宋_GB2312"/>
          <w:sz w:val="32"/>
          <w:szCs w:val="32"/>
        </w:rPr>
        <w:t>一些</w:t>
      </w:r>
      <w:r>
        <w:rPr>
          <w:rFonts w:hint="eastAsia" w:ascii="仿宋_GB2312" w:eastAsia="仿宋_GB2312"/>
          <w:sz w:val="32"/>
          <w:szCs w:val="32"/>
        </w:rPr>
        <w:t>专业仍未有专业</w:t>
      </w:r>
      <w:r>
        <w:rPr>
          <w:rFonts w:ascii="仿宋_GB2312" w:eastAsia="仿宋_GB2312"/>
          <w:sz w:val="32"/>
          <w:szCs w:val="32"/>
        </w:rPr>
        <w:t>带头人，</w:t>
      </w:r>
      <w:r>
        <w:rPr>
          <w:rFonts w:hint="eastAsia" w:ascii="仿宋_GB2312" w:eastAsia="仿宋_GB2312"/>
          <w:sz w:val="32"/>
          <w:szCs w:val="32"/>
        </w:rPr>
        <w:t>无法</w:t>
      </w:r>
      <w:r>
        <w:rPr>
          <w:rFonts w:ascii="仿宋_GB2312" w:eastAsia="仿宋_GB2312"/>
          <w:sz w:val="32"/>
          <w:szCs w:val="32"/>
        </w:rPr>
        <w:t>形成学术群体和</w:t>
      </w:r>
      <w:r>
        <w:rPr>
          <w:rFonts w:hint="eastAsia" w:ascii="仿宋_GB2312" w:eastAsia="仿宋_GB2312"/>
          <w:sz w:val="32"/>
          <w:szCs w:val="32"/>
        </w:rPr>
        <w:t>专业</w:t>
      </w:r>
      <w:r>
        <w:rPr>
          <w:rFonts w:ascii="仿宋_GB2312" w:eastAsia="仿宋_GB2312"/>
          <w:sz w:val="32"/>
          <w:szCs w:val="32"/>
        </w:rPr>
        <w:t>梯队</w:t>
      </w:r>
      <w:r>
        <w:rPr>
          <w:rFonts w:hint="eastAsia" w:ascii="仿宋_GB2312" w:eastAsia="仿宋_GB2312"/>
          <w:sz w:val="32"/>
          <w:szCs w:val="32"/>
        </w:rPr>
        <w:t>；因学院教师来源较单一，66%的专任教师属于毕业后直接任教，还有大部分由其他高校调入，均缺乏实践锻炼，“双师型”教师仅占39.3%；教师管理制度和培训体系仍不完善，教师队伍的稳定性、工作积极性和能力素质的提升受到影响。</w:t>
      </w:r>
    </w:p>
    <w:p>
      <w:pPr>
        <w:spacing w:line="600" w:lineRule="exact"/>
        <w:ind w:firstLine="643" w:firstLineChars="200"/>
        <w:rPr>
          <w:rFonts w:hint="eastAsia" w:ascii="仿宋_GB2312" w:hAnsi="楷体" w:eastAsia="仿宋_GB2312" w:cs="宋体"/>
          <w:b/>
          <w:kern w:val="0"/>
          <w:sz w:val="32"/>
          <w:szCs w:val="32"/>
        </w:rPr>
      </w:pPr>
      <w:r>
        <w:rPr>
          <w:rFonts w:hint="eastAsia" w:ascii="仿宋_GB2312" w:hAnsi="楷体" w:eastAsia="仿宋_GB2312" w:cs="宋体"/>
          <w:b/>
          <w:kern w:val="0"/>
          <w:sz w:val="32"/>
          <w:szCs w:val="32"/>
        </w:rPr>
        <w:t>二、“十三五”期间面临的形势</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《国家中长期教育改革和发展规划纲要(2010-2020 年)》提出，要建立和完善现代大学制度，推进高等教育改革和发展，就必须充分发挥高校干部队伍作用，克服行政化倾向，这对我院干部队伍管理提出了巨大挑战，对我院</w:t>
      </w:r>
      <w:r>
        <w:rPr>
          <w:rFonts w:hint="eastAsia" w:ascii="仿宋_GB2312" w:hAnsi="仿宋_GB2312" w:eastAsia="仿宋_GB2312"/>
          <w:sz w:val="32"/>
          <w:szCs w:val="32"/>
        </w:rPr>
        <w:t>干部素质和能力提出了更高要求，迫切需要我院培养一支推动发展有激情、有招数、有能力、能贡献的高素质干部队伍，并实现干部队伍</w:t>
      </w:r>
      <w:r>
        <w:rPr>
          <w:rFonts w:hint="eastAsia" w:ascii="仿宋_GB2312" w:eastAsia="仿宋_GB2312"/>
          <w:sz w:val="32"/>
          <w:szCs w:val="32"/>
        </w:rPr>
        <w:t>由行政权力本位向职业能力本位转型。</w:t>
      </w:r>
    </w:p>
    <w:p>
      <w:pPr>
        <w:spacing w:line="600"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随着社会的发展与进步，人们对优质高等教育资源的需求更加强烈，社会对高等职业教育的要求越来越高。一方面，高职教育的目的是培养技术应用型人才，产业结构的调整与升级对高素质技能型专门人才的要求越来越高，由培养技术应用型人才向高端技能型人才转变，这对我院专业结构的优化和师资队伍的建设提出了更高的要求，而目前我院师资队伍建设仍</w:t>
      </w:r>
      <w:r>
        <w:rPr>
          <w:rFonts w:ascii="仿宋_GB2312" w:hAnsi="仿宋_GB2312" w:eastAsia="仿宋_GB2312"/>
          <w:sz w:val="32"/>
          <w:szCs w:val="32"/>
        </w:rPr>
        <w:t>滞后于高职教育的发展需要</w:t>
      </w:r>
      <w:r>
        <w:rPr>
          <w:rFonts w:hint="eastAsia" w:ascii="仿宋_GB2312" w:hAnsi="仿宋_GB2312" w:eastAsia="仿宋_GB2312"/>
          <w:sz w:val="32"/>
          <w:szCs w:val="32"/>
        </w:rPr>
        <w:t>，迫切需要加大加强师资队伍建设，使其数量、素质、结构与高技能人才培养需求相契合；另一方面，随着高等教育进入大众化阶段，高职院校之间竞争更加激烈，全国范围内同类院校在生源、师资引进、品牌建设等领域争夺进入白热化阶段，与一些兄弟院校相比，我们的竞争力还不够强，同时我院也正处于由外延扩展向内涵发展战略转变的关键期，迫切需要</w:t>
      </w:r>
      <w:r>
        <w:rPr>
          <w:rFonts w:ascii="仿宋_GB2312" w:hAnsi="仿宋_GB2312" w:eastAsia="仿宋_GB2312"/>
          <w:sz w:val="32"/>
          <w:szCs w:val="32"/>
        </w:rPr>
        <w:t>集聚师资力量，形成专业竞争优势</w:t>
      </w:r>
      <w:r>
        <w:rPr>
          <w:rFonts w:hint="eastAsia" w:ascii="仿宋_GB2312" w:hAns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sz w:val="32"/>
          <w:szCs w:val="32"/>
        </w:rPr>
        <w:t>总体上，</w:t>
      </w:r>
      <w:r>
        <w:rPr>
          <w:rFonts w:ascii="仿宋_GB2312" w:hAnsi="仿宋_GB2312" w:eastAsia="仿宋_GB2312"/>
          <w:sz w:val="32"/>
          <w:szCs w:val="32"/>
        </w:rPr>
        <w:t>面对新的形势，机遇与挑战并存。</w:t>
      </w:r>
      <w:r>
        <w:rPr>
          <w:rFonts w:hint="eastAsia" w:ascii="仿宋_GB2312" w:eastAsia="仿宋_GB2312"/>
          <w:sz w:val="32"/>
          <w:szCs w:val="32"/>
        </w:rPr>
        <w:t>我院要</w:t>
      </w:r>
      <w:r>
        <w:rPr>
          <w:rFonts w:ascii="仿宋_GB2312" w:eastAsia="仿宋_GB2312"/>
          <w:sz w:val="32"/>
          <w:szCs w:val="32"/>
        </w:rPr>
        <w:t>提高质量、增强核心竞争力、可持续发展</w:t>
      </w:r>
      <w:r>
        <w:rPr>
          <w:rFonts w:hint="eastAsia" w:ascii="仿宋_GB2312" w:eastAsia="仿宋_GB2312"/>
          <w:sz w:val="32"/>
          <w:szCs w:val="32"/>
        </w:rPr>
        <w:t>，</w:t>
      </w:r>
      <w:r>
        <w:rPr>
          <w:rFonts w:ascii="仿宋_GB2312" w:eastAsia="仿宋_GB2312"/>
          <w:sz w:val="32"/>
          <w:szCs w:val="32"/>
        </w:rPr>
        <w:t>必须建设一支高素质、高水平</w:t>
      </w:r>
      <w:r>
        <w:rPr>
          <w:rFonts w:hint="eastAsia" w:ascii="仿宋_GB2312" w:eastAsia="仿宋_GB2312"/>
          <w:sz w:val="32"/>
          <w:szCs w:val="32"/>
        </w:rPr>
        <w:t>，</w:t>
      </w:r>
      <w:r>
        <w:rPr>
          <w:rFonts w:ascii="仿宋_GB2312" w:eastAsia="仿宋_GB2312"/>
          <w:sz w:val="32"/>
          <w:szCs w:val="32"/>
        </w:rPr>
        <w:t>适应高职教育特点的</w:t>
      </w:r>
      <w:r>
        <w:rPr>
          <w:rFonts w:hint="eastAsia" w:ascii="仿宋_GB2312" w:eastAsia="仿宋_GB2312"/>
          <w:sz w:val="32"/>
          <w:szCs w:val="32"/>
        </w:rPr>
        <w:t>人才</w:t>
      </w:r>
      <w:r>
        <w:rPr>
          <w:rFonts w:ascii="仿宋_GB2312" w:eastAsia="仿宋_GB2312"/>
          <w:sz w:val="32"/>
          <w:szCs w:val="32"/>
        </w:rPr>
        <w:t>队伍</w:t>
      </w:r>
      <w:r>
        <w:rPr>
          <w:rFonts w:hint="eastAsia" w:ascii="仿宋_GB2312" w:eastAsia="仿宋_GB2312"/>
          <w:sz w:val="32"/>
          <w:szCs w:val="32"/>
        </w:rPr>
        <w:t>。可以说，</w:t>
      </w:r>
      <w:r>
        <w:rPr>
          <w:rFonts w:hint="eastAsia" w:ascii="仿宋_GB2312" w:hAnsi="仿宋_GB2312" w:eastAsia="仿宋_GB2312"/>
          <w:sz w:val="32"/>
          <w:szCs w:val="32"/>
        </w:rPr>
        <w:t>大力开发人力资源，加快人才队伍建设，不仅是学院一项紧迫的现实任务，也是一项长期的战略任务。</w:t>
      </w:r>
    </w:p>
    <w:p>
      <w:pPr>
        <w:spacing w:line="600" w:lineRule="exact"/>
        <w:ind w:firstLine="643" w:firstLineChars="200"/>
        <w:rPr>
          <w:rFonts w:hint="eastAsia" w:ascii="仿宋_GB2312" w:hAnsi="楷体" w:eastAsia="仿宋_GB2312" w:cs="宋体"/>
          <w:b/>
          <w:kern w:val="0"/>
          <w:sz w:val="32"/>
          <w:szCs w:val="32"/>
        </w:rPr>
      </w:pPr>
      <w:r>
        <w:rPr>
          <w:rFonts w:hint="eastAsia" w:ascii="仿宋_GB2312" w:hAnsi="楷体" w:eastAsia="仿宋_GB2312" w:cs="宋体"/>
          <w:b/>
          <w:kern w:val="0"/>
          <w:sz w:val="32"/>
          <w:szCs w:val="32"/>
        </w:rPr>
        <w:t>三、“十三五”期间发展的指导思想</w:t>
      </w:r>
    </w:p>
    <w:p>
      <w:pPr>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紧紧围绕学院总体发展战略目标，坚持党管人才原则，坚持“人才强校”理念，以人为本，创新人事管理，完善用人机制，启动“大人才”战略，建立有利于人才成长的激励制度和宽松环境，按照加快培养、重在使用、优化结构、完善机制的要求，以素质能力建设为中心，以培养开发为重点，统筹推进各类人才队伍建设，为学院战略目标的顺利实现和可持续发展提供坚强的人才保障和智力支撑。</w:t>
      </w:r>
    </w:p>
    <w:p>
      <w:pPr>
        <w:spacing w:line="600" w:lineRule="exact"/>
        <w:ind w:firstLine="643" w:firstLineChars="200"/>
        <w:rPr>
          <w:rFonts w:hint="eastAsia" w:ascii="仿宋_GB2312" w:hAnsi="楷体" w:eastAsia="仿宋_GB2312" w:cs="宋体"/>
          <w:b/>
          <w:kern w:val="0"/>
          <w:sz w:val="32"/>
          <w:szCs w:val="32"/>
        </w:rPr>
      </w:pPr>
      <w:r>
        <w:rPr>
          <w:rFonts w:hint="eastAsia" w:ascii="仿宋_GB2312" w:hAnsi="楷体" w:eastAsia="仿宋_GB2312" w:cs="宋体"/>
          <w:b/>
          <w:kern w:val="0"/>
          <w:sz w:val="32"/>
          <w:szCs w:val="32"/>
        </w:rPr>
        <w:t>四、“十三五”期间的发展目标与主要任务</w:t>
      </w:r>
    </w:p>
    <w:p>
      <w:pPr>
        <w:spacing w:line="600" w:lineRule="exact"/>
        <w:ind w:firstLine="472" w:firstLineChars="147"/>
        <w:rPr>
          <w:rFonts w:hint="eastAsia" w:ascii="仿宋_GB2312" w:eastAsia="仿宋_GB2312"/>
          <w:b/>
          <w:sz w:val="32"/>
          <w:szCs w:val="32"/>
        </w:rPr>
      </w:pPr>
      <w:r>
        <w:rPr>
          <w:rFonts w:hint="eastAsia" w:ascii="仿宋_GB2312" w:eastAsia="仿宋_GB2312"/>
          <w:b/>
          <w:sz w:val="32"/>
          <w:szCs w:val="32"/>
        </w:rPr>
        <w:t>（一）发展目标</w:t>
      </w:r>
    </w:p>
    <w:p>
      <w:pPr>
        <w:spacing w:line="600" w:lineRule="exact"/>
        <w:ind w:firstLine="643" w:firstLineChars="200"/>
        <w:rPr>
          <w:rFonts w:hint="eastAsia" w:ascii="仿宋_GB2312" w:hAnsi="宋体" w:eastAsia="仿宋_GB2312" w:cs="Batang"/>
          <w:b/>
          <w:sz w:val="32"/>
          <w:szCs w:val="32"/>
        </w:rPr>
      </w:pPr>
      <w:r>
        <w:rPr>
          <w:rFonts w:hint="eastAsia" w:ascii="仿宋_GB2312" w:hAnsi="宋体" w:eastAsia="仿宋_GB2312" w:cs="Batang"/>
          <w:b/>
          <w:sz w:val="32"/>
          <w:szCs w:val="32"/>
        </w:rPr>
        <w:t>1.总体目标</w:t>
      </w:r>
    </w:p>
    <w:p>
      <w:pPr>
        <w:spacing w:line="600" w:lineRule="exact"/>
        <w:ind w:firstLine="640" w:firstLineChars="200"/>
        <w:rPr>
          <w:rFonts w:hint="eastAsia" w:ascii="仿宋_GB2312" w:eastAsia="仿宋_GB2312"/>
          <w:sz w:val="32"/>
          <w:szCs w:val="32"/>
        </w:rPr>
      </w:pPr>
      <w:r>
        <w:rPr>
          <w:rFonts w:hint="eastAsia" w:ascii="仿宋_GB2312" w:hAnsi="宋体" w:eastAsia="仿宋_GB2312" w:cs="Batang"/>
          <w:sz w:val="32"/>
          <w:szCs w:val="32"/>
        </w:rPr>
        <w:t>按照“稳定、培养、引进、借智”的人才队伍建设思路，以全面提高人才队伍素质为中心，以优化人才结构为重点，以</w:t>
      </w:r>
      <w:r>
        <w:rPr>
          <w:rFonts w:hint="eastAsia" w:ascii="仿宋_GB2312" w:eastAsia="仿宋_GB2312"/>
          <w:sz w:val="32"/>
          <w:szCs w:val="32"/>
        </w:rPr>
        <w:t>创新人事管理制度为保障，努力建设一支</w:t>
      </w:r>
      <w:r>
        <w:rPr>
          <w:rFonts w:hint="eastAsia" w:ascii="仿宋_GB2312" w:hAnsi="宋体" w:eastAsia="仿宋_GB2312" w:cs="Batang"/>
          <w:sz w:val="32"/>
          <w:szCs w:val="32"/>
        </w:rPr>
        <w:t>“政治坚定、业务熟练、创新务实、勤政廉洁、结构合理、精简高效</w:t>
      </w:r>
      <w:r>
        <w:rPr>
          <w:rFonts w:hint="eastAsia" w:ascii="仿宋_GB2312" w:eastAsia="仿宋_GB2312"/>
          <w:sz w:val="32"/>
          <w:szCs w:val="32"/>
        </w:rPr>
        <w:t>”的管理干部队伍和一支“数量足够、专兼结合、结构合理、素质优良,符合高技能人才培养目标要求并具有国际化视野”的“双师型”教师队伍。</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2.具体目标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干部队伍建设的目标：到2020年底，配备更全，</w:t>
      </w:r>
      <w:r>
        <w:rPr>
          <w:rFonts w:ascii="仿宋_GB2312" w:eastAsia="仿宋_GB2312"/>
          <w:sz w:val="32"/>
          <w:szCs w:val="32"/>
        </w:rPr>
        <w:t>结构更加合理，专业化水平明显提高，</w:t>
      </w:r>
      <w:r>
        <w:rPr>
          <w:rFonts w:hint="eastAsia" w:ascii="仿宋_GB2312" w:eastAsia="仿宋_GB2312"/>
          <w:sz w:val="32"/>
          <w:szCs w:val="32"/>
        </w:rPr>
        <w:t>视野更开阔，执行力更强，总体缺位率降至10%以下，</w:t>
      </w:r>
      <w:r>
        <w:rPr>
          <w:rFonts w:ascii="仿宋_GB2312" w:eastAsia="仿宋_GB2312"/>
          <w:sz w:val="32"/>
          <w:szCs w:val="32"/>
        </w:rPr>
        <w:t>具有大学本科及以上学历的干部</w:t>
      </w:r>
      <w:r>
        <w:rPr>
          <w:rFonts w:hint="eastAsia" w:ascii="仿宋_GB2312" w:eastAsia="仿宋_GB2312"/>
          <w:sz w:val="32"/>
          <w:szCs w:val="32"/>
        </w:rPr>
        <w:t>比例提升至</w:t>
      </w:r>
      <w:r>
        <w:rPr>
          <w:rFonts w:ascii="仿宋_GB2312" w:eastAsia="仿宋_GB2312"/>
          <w:sz w:val="32"/>
          <w:szCs w:val="32"/>
        </w:rPr>
        <w:t>85%，</w:t>
      </w:r>
      <w:r>
        <w:rPr>
          <w:rFonts w:hint="eastAsia" w:ascii="仿宋_GB2312" w:eastAsia="仿宋_GB2312"/>
          <w:sz w:val="32"/>
          <w:szCs w:val="32"/>
        </w:rPr>
        <w:t>教学、教务、科研部门领导干部职称应为副高以上，40岁以下</w:t>
      </w:r>
      <w:r>
        <w:rPr>
          <w:rFonts w:ascii="仿宋_GB2312" w:eastAsia="仿宋_GB2312"/>
          <w:sz w:val="32"/>
          <w:szCs w:val="32"/>
        </w:rPr>
        <w:t>的干部</w:t>
      </w:r>
      <w:r>
        <w:rPr>
          <w:rFonts w:hint="eastAsia" w:ascii="仿宋_GB2312" w:eastAsia="仿宋_GB2312"/>
          <w:sz w:val="32"/>
          <w:szCs w:val="32"/>
        </w:rPr>
        <w:t>比例提升至30%以上，年度干部调训率和参训率均达到100%，</w:t>
      </w:r>
      <w:r>
        <w:rPr>
          <w:rFonts w:ascii="仿宋_GB2312" w:eastAsia="仿宋_GB2312"/>
          <w:sz w:val="32"/>
          <w:szCs w:val="32"/>
        </w:rPr>
        <w:t>以职责管理为中心</w:t>
      </w:r>
      <w:r>
        <w:rPr>
          <w:rFonts w:hint="eastAsia" w:ascii="仿宋_GB2312" w:eastAsia="仿宋_GB2312"/>
          <w:sz w:val="32"/>
          <w:szCs w:val="32"/>
        </w:rPr>
        <w:t>的干部管理制度体系得以建立。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师资队伍建设的目标：到2020年底，学院将打造起5支重点专业教师团队，建设起1个教师发展平台，搭建起1个学业指导教师网络工作平台，硕士以上学位的教师提升至55%，博士学位的教师提升至5%，副高以上职称的教师提升至35%，拥有博士15名，正高职称的教师15名，重点专业和新增专业的师资配备问题得以解决，各专业均具备1-2名专业带头人和3-5名骨干教师，双师型教师比例达到70%</w:t>
      </w:r>
      <w:r>
        <w:rPr>
          <w:rFonts w:hint="eastAsia" w:ascii="仿宋_GB2312" w:hAnsi="宋体" w:eastAsia="仿宋_GB2312"/>
          <w:bCs/>
          <w:sz w:val="32"/>
          <w:szCs w:val="32"/>
        </w:rPr>
        <w:t>（重点专业达到90%</w:t>
      </w:r>
      <w:r>
        <w:rPr>
          <w:rFonts w:hint="eastAsia" w:ascii="仿宋_GB2312" w:eastAsia="仿宋_GB2312"/>
          <w:sz w:val="32"/>
          <w:szCs w:val="32"/>
        </w:rPr>
        <w:t>以上），各专业的教师专业梯队初具规模，学业指导教师制得以实现，促进教师专业发展、激发教师队伍活力、适应教育现代化发展的教师管理制度体系得以建立。</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（二）主要任务</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从人才强校的角度出发，学院将主要通过九大重点建设项目实现“十三五”人才队伍建设的发展目标和任务指标，为学院核心竞争力的提升和现代大学的建设奠定敦实的人才基础。</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1.干部队伍建设的主要任务及其重点项目</w:t>
      </w:r>
    </w:p>
    <w:p>
      <w:pPr>
        <w:spacing w:line="600" w:lineRule="exact"/>
        <w:ind w:firstLine="643" w:firstLineChars="200"/>
        <w:rPr>
          <w:rFonts w:hint="eastAsia" w:ascii="仿宋_GB2312" w:eastAsia="仿宋_GB2312"/>
          <w:sz w:val="32"/>
          <w:szCs w:val="32"/>
        </w:rPr>
      </w:pPr>
      <w:r>
        <w:rPr>
          <w:rFonts w:hint="eastAsia" w:ascii="仿宋_GB2312" w:eastAsia="仿宋_GB2312"/>
          <w:b/>
          <w:sz w:val="32"/>
          <w:szCs w:val="32"/>
        </w:rPr>
        <w:t>主要任务：</w:t>
      </w:r>
      <w:r>
        <w:rPr>
          <w:rFonts w:ascii="仿宋_GB2312" w:eastAsia="仿宋_GB2312"/>
          <w:sz w:val="32"/>
          <w:szCs w:val="32"/>
        </w:rPr>
        <w:t>按照加强党的执政能力建设和先进性建设的要求，以提高领导水平和执政能力为核心</w:t>
      </w:r>
      <w:r>
        <w:rPr>
          <w:rFonts w:hint="eastAsia" w:ascii="仿宋_GB2312" w:eastAsia="仿宋_GB2312"/>
          <w:sz w:val="32"/>
          <w:szCs w:val="32"/>
        </w:rPr>
        <w:t>以建立健全适应创新人才培养新模式的干部选拔任用、培养、使用和考核监管四方面工作机制为工作主线，着力建立完善现代大学制度下，具有汕职院明显特质的、较为科学的干部管理工作体系。同时，根据学院改革发展的需要，不断优化干部队伍结构，补充一定数量的具有较高理论素养、熟悉专业、具有战略思维能力的干部。</w:t>
      </w:r>
    </w:p>
    <w:p>
      <w:pPr>
        <w:spacing w:line="600" w:lineRule="exact"/>
        <w:ind w:firstLine="643" w:firstLineChars="200"/>
        <w:rPr>
          <w:rFonts w:hint="eastAsia" w:ascii="仿宋_GB2312" w:eastAsia="仿宋_GB2312"/>
          <w:sz w:val="32"/>
          <w:szCs w:val="32"/>
        </w:rPr>
      </w:pPr>
      <w:r>
        <w:rPr>
          <w:rFonts w:hint="eastAsia" w:ascii="仿宋_GB2312" w:eastAsia="仿宋_GB2312"/>
          <w:b/>
          <w:sz w:val="32"/>
          <w:szCs w:val="32"/>
        </w:rPr>
        <w:t>干部选拔任用工作机制建设项目</w:t>
      </w:r>
      <w:r>
        <w:rPr>
          <w:rFonts w:hint="eastAsia" w:ascii="仿宋_GB2312" w:eastAsia="仿宋_GB2312"/>
          <w:sz w:val="32"/>
          <w:szCs w:val="32"/>
        </w:rPr>
        <w:t>：创造性建立《汕头职业技术学院干部选拔任用工作机制》，在强调干部“德能勤绩廉”五项基本要求的基础上，加强学院干部选拔任用工作与业务层面的沟通联系，充分考虑岗位对干部的综合素质要求，按照优中选优和发挥管理人才的特长的干部选任思想，做到“按需选任”，重点解决学院“十三五”规划的实施以及应对未来学院发展挑战对干部队伍建设的新需求，为学院选任用人工作提供制度和机制保障。</w:t>
      </w:r>
    </w:p>
    <w:p>
      <w:pPr>
        <w:spacing w:line="600" w:lineRule="exact"/>
        <w:ind w:firstLine="643" w:firstLineChars="200"/>
        <w:rPr>
          <w:rFonts w:hint="eastAsia" w:ascii="仿宋_GB2312" w:eastAsia="仿宋_GB2312"/>
          <w:sz w:val="32"/>
          <w:szCs w:val="32"/>
        </w:rPr>
      </w:pPr>
      <w:r>
        <w:rPr>
          <w:rFonts w:hint="eastAsia" w:ascii="仿宋_GB2312" w:eastAsia="仿宋_GB2312"/>
          <w:b/>
          <w:sz w:val="32"/>
          <w:szCs w:val="32"/>
        </w:rPr>
        <w:t>中层管理岗位职责体系建设项目</w:t>
      </w:r>
      <w:r>
        <w:rPr>
          <w:rFonts w:hint="eastAsia" w:ascii="仿宋_GB2312" w:eastAsia="仿宋_GB2312"/>
          <w:sz w:val="32"/>
          <w:szCs w:val="32"/>
        </w:rPr>
        <w:t>：探索建立《汕头职业技术学院管理岗位职责标准》，对学院干部实施定编、定岗、定职、定责。针对“十三五”规划提出的新形势、新问题，理清学院框架下，明确各中层干部岗位职责和管理范围，形成既重“职务”内涵的明确，更重“责任”追究机制的领导干部岗位职责体系和以学院科学发展、部门特色发展为主旨的中层干部岗位能力标准，并以规范性文件的形式落实“责任意识”对干部岗位的刚性要求，使其成为学院管理文化的核心内容。</w:t>
      </w:r>
    </w:p>
    <w:p>
      <w:pPr>
        <w:spacing w:line="600" w:lineRule="exact"/>
        <w:ind w:firstLine="643" w:firstLineChars="200"/>
        <w:rPr>
          <w:rFonts w:hint="eastAsia" w:ascii="仿宋_GB2312" w:eastAsia="仿宋_GB2312"/>
          <w:sz w:val="32"/>
          <w:szCs w:val="32"/>
        </w:rPr>
      </w:pPr>
      <w:r>
        <w:rPr>
          <w:rFonts w:hint="eastAsia" w:ascii="仿宋_GB2312" w:eastAsia="仿宋_GB2312"/>
          <w:b/>
          <w:sz w:val="32"/>
          <w:szCs w:val="32"/>
        </w:rPr>
        <w:t>干部岗位常态交流建设项目</w:t>
      </w:r>
      <w:r>
        <w:rPr>
          <w:rFonts w:hint="eastAsia" w:ascii="仿宋_GB2312" w:eastAsia="仿宋_GB2312"/>
          <w:sz w:val="32"/>
          <w:szCs w:val="32"/>
        </w:rPr>
        <w:t>：探索建立《汕头职业技术学院干部岗位交流实施办法》，按照干部工作中管理经验有效输出、人力资源效能最大化思想和必要的规避性原则，充分考虑干部交流后的组织管理和自身提升，体现促进岗位工作的两重目标，加强部门间、部门内不同岗位之间的经验互动，特别是培养性交流和业务性交流，以提升干部的专业素养、战略眼光和全局意识。</w:t>
      </w:r>
    </w:p>
    <w:p>
      <w:pPr>
        <w:spacing w:line="600" w:lineRule="exact"/>
        <w:ind w:firstLine="643" w:firstLineChars="200"/>
        <w:rPr>
          <w:rFonts w:hint="eastAsia" w:ascii="仿宋_GB2312" w:eastAsia="仿宋_GB2312"/>
          <w:b/>
          <w:color w:val="000000"/>
          <w:sz w:val="32"/>
          <w:szCs w:val="32"/>
        </w:rPr>
      </w:pPr>
      <w:r>
        <w:rPr>
          <w:rFonts w:hint="eastAsia" w:ascii="仿宋_GB2312" w:eastAsia="仿宋_GB2312"/>
          <w:b/>
          <w:sz w:val="32"/>
          <w:szCs w:val="32"/>
        </w:rPr>
        <w:t>干部培训创新机制建设项目</w:t>
      </w:r>
      <w:r>
        <w:rPr>
          <w:rFonts w:hint="eastAsia" w:ascii="仿宋_GB2312" w:eastAsia="仿宋_GB2312"/>
          <w:sz w:val="32"/>
          <w:szCs w:val="32"/>
        </w:rPr>
        <w:t>：建立实施《汕头职业技术学院干部培训制度》，</w:t>
      </w:r>
      <w:r>
        <w:rPr>
          <w:rFonts w:hint="eastAsia" w:ascii="仿宋_GB2312" w:eastAsia="仿宋_GB2312"/>
          <w:color w:val="000000"/>
          <w:sz w:val="32"/>
          <w:szCs w:val="32"/>
        </w:rPr>
        <w:t>推进学院干部教育培训改革创新，</w:t>
      </w:r>
      <w:r>
        <w:rPr>
          <w:rFonts w:ascii="仿宋_GB2312" w:eastAsia="仿宋_GB2312"/>
          <w:color w:val="000000"/>
          <w:sz w:val="32"/>
          <w:szCs w:val="32"/>
        </w:rPr>
        <w:t>按照创新培训内容，改进培训方法，整合培训资源，优化培训队伍，提高培训质量的目标，</w:t>
      </w:r>
      <w:r>
        <w:rPr>
          <w:rFonts w:hint="eastAsia" w:ascii="仿宋_GB2312" w:eastAsia="仿宋_GB2312"/>
          <w:color w:val="000000"/>
          <w:sz w:val="32"/>
          <w:szCs w:val="32"/>
        </w:rPr>
        <w:t>建立起</w:t>
      </w:r>
      <w:r>
        <w:rPr>
          <w:rFonts w:ascii="仿宋_GB2312" w:eastAsia="仿宋_GB2312"/>
          <w:color w:val="000000"/>
          <w:sz w:val="32"/>
          <w:szCs w:val="32"/>
        </w:rPr>
        <w:t>与建设学习型</w:t>
      </w:r>
      <w:r>
        <w:rPr>
          <w:rFonts w:hint="eastAsia" w:ascii="仿宋_GB2312" w:eastAsia="仿宋_GB2312"/>
          <w:color w:val="000000"/>
          <w:sz w:val="32"/>
          <w:szCs w:val="32"/>
        </w:rPr>
        <w:t>、服务型、创新型</w:t>
      </w:r>
      <w:r>
        <w:rPr>
          <w:rFonts w:ascii="仿宋_GB2312" w:eastAsia="仿宋_GB2312"/>
          <w:color w:val="000000"/>
          <w:sz w:val="32"/>
          <w:szCs w:val="32"/>
        </w:rPr>
        <w:t>马克思主义政党要求相符合，与干部人事制度改革相衔接，更加开放、更具活力、更有实效的干部教育培训体系</w:t>
      </w:r>
      <w:r>
        <w:rPr>
          <w:rFonts w:hint="eastAsia" w:ascii="仿宋_GB2312" w:eastAsia="仿宋_GB2312"/>
          <w:color w:val="000000"/>
          <w:sz w:val="32"/>
          <w:szCs w:val="32"/>
        </w:rPr>
        <w:t>，</w:t>
      </w:r>
      <w:r>
        <w:rPr>
          <w:rFonts w:ascii="仿宋_GB2312" w:eastAsia="仿宋_GB2312"/>
          <w:color w:val="000000"/>
          <w:sz w:val="32"/>
          <w:szCs w:val="32"/>
        </w:rPr>
        <w:t>为推进学院的全面建设，提供思想政治保证、人才保证和智力支持。</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2.师资队伍建设的主要任务及其重点项目</w:t>
      </w:r>
    </w:p>
    <w:p>
      <w:pPr>
        <w:spacing w:line="600" w:lineRule="exact"/>
        <w:ind w:firstLine="643" w:firstLineChars="200"/>
        <w:rPr>
          <w:rFonts w:hint="eastAsia" w:ascii="仿宋_GB2312" w:eastAsia="仿宋_GB2312"/>
          <w:sz w:val="32"/>
          <w:szCs w:val="32"/>
        </w:rPr>
      </w:pPr>
      <w:r>
        <w:rPr>
          <w:rFonts w:hint="eastAsia" w:ascii="仿宋_GB2312" w:eastAsia="仿宋_GB2312"/>
          <w:b/>
          <w:sz w:val="32"/>
          <w:szCs w:val="32"/>
        </w:rPr>
        <w:t>主要任务</w:t>
      </w:r>
      <w:r>
        <w:rPr>
          <w:rFonts w:hint="eastAsia" w:ascii="仿宋_GB2312" w:eastAsia="仿宋_GB2312"/>
          <w:sz w:val="32"/>
          <w:szCs w:val="32"/>
        </w:rPr>
        <w:t>：建立起多元化用人机制，营造起和谐良好的人才聚集和成长环境，使学院的高层次人才引进数量有较大幅度增加，人才质量有较大幅度提高，吸引一批突出的高层次人才和双师型人才到校工作；形成校企协同师资队伍建设机制，兼职聘用管理制度运行顺畅，建设起一支能满足高技能型人才培养需要的双师型教师队伍；青年教师、骨干教师和专业带头人的培养取得较大发展，专业的教师整体实力得到大幅度提高，教师结构趋向合理化；部分重点专业成为明星专业，业内影响力和社会影响力得到大幅度提升；学生和教师真正从学业指导教师制中获益，教学相长作用逐步呈现。</w:t>
      </w:r>
    </w:p>
    <w:p>
      <w:pPr>
        <w:spacing w:line="600" w:lineRule="exact"/>
        <w:ind w:firstLine="626" w:firstLineChars="195"/>
        <w:rPr>
          <w:rFonts w:hint="eastAsia" w:ascii="仿宋_GB2312" w:eastAsia="仿宋_GB2312"/>
          <w:sz w:val="32"/>
          <w:szCs w:val="32"/>
        </w:rPr>
      </w:pPr>
      <w:r>
        <w:rPr>
          <w:rFonts w:hint="eastAsia" w:ascii="仿宋_GB2312" w:eastAsia="仿宋_GB2312"/>
          <w:b/>
          <w:sz w:val="32"/>
          <w:szCs w:val="32"/>
        </w:rPr>
        <w:t>高层次人才引进与培养项目：</w:t>
      </w:r>
      <w:r>
        <w:rPr>
          <w:rFonts w:hint="eastAsia" w:ascii="仿宋_GB2312" w:eastAsia="仿宋_GB2312"/>
          <w:sz w:val="32"/>
          <w:szCs w:val="32"/>
        </w:rPr>
        <w:t>通过对外加大高层次人才的引进力度，</w:t>
      </w:r>
      <w:r>
        <w:rPr>
          <w:rFonts w:hint="eastAsia" w:ascii="仿宋_GB2312" w:hAnsi="宋体" w:eastAsia="仿宋_GB2312" w:cs="Batang"/>
          <w:sz w:val="32"/>
          <w:szCs w:val="32"/>
        </w:rPr>
        <w:t>优先配置重点专业的师资队伍资源</w:t>
      </w:r>
      <w:r>
        <w:rPr>
          <w:rFonts w:hint="eastAsia" w:ascii="仿宋_GB2312" w:eastAsia="仿宋_GB2312"/>
          <w:sz w:val="32"/>
          <w:szCs w:val="32"/>
        </w:rPr>
        <w:t>和对内实施青年教师导师制、专业带头人和骨干教师培养工程、高学历（博士）高职称（教授）培养工程等高层次人才的培育计划</w:t>
      </w:r>
      <w:r>
        <w:rPr>
          <w:rFonts w:hint="eastAsia" w:ascii="仿宋_GB2312" w:hAnsi="宋体" w:eastAsia="仿宋_GB2312" w:cs="Batang"/>
          <w:sz w:val="32"/>
          <w:szCs w:val="32"/>
        </w:rPr>
        <w:t>，</w:t>
      </w:r>
      <w:r>
        <w:rPr>
          <w:rFonts w:hint="eastAsia" w:ascii="仿宋_GB2312" w:eastAsia="仿宋_GB2312"/>
          <w:sz w:val="32"/>
          <w:szCs w:val="32"/>
        </w:rPr>
        <w:t>整体提升我院的人才层次和合理化人才结构。</w:t>
      </w:r>
    </w:p>
    <w:p>
      <w:pPr>
        <w:spacing w:line="600" w:lineRule="exact"/>
        <w:ind w:firstLine="482" w:firstLineChars="150"/>
        <w:rPr>
          <w:rFonts w:hint="eastAsia" w:ascii="仿宋_GB2312" w:eastAsia="仿宋_GB2312"/>
          <w:sz w:val="32"/>
          <w:szCs w:val="32"/>
        </w:rPr>
      </w:pPr>
      <w:r>
        <w:rPr>
          <w:rFonts w:hint="eastAsia" w:ascii="仿宋_GB2312" w:eastAsia="仿宋_GB2312"/>
          <w:b/>
          <w:sz w:val="32"/>
          <w:szCs w:val="32"/>
        </w:rPr>
        <w:t>“双师型”教师队伍建设项目：</w:t>
      </w:r>
      <w:r>
        <w:rPr>
          <w:rFonts w:hint="eastAsia" w:ascii="仿宋_GB2312" w:eastAsia="仿宋_GB2312"/>
          <w:sz w:val="32"/>
          <w:szCs w:val="32"/>
        </w:rPr>
        <w:t>通过加大“双师型”高层次人才的引进力度，启动与企业联合培养专业教师的制度，支持教师专业技能的培训和科研成果的应用，建立“兼职教师人才库”，出台“校企联合培养教师制度”等，打通校企人力资源共享的通道， 常规化企业挂职定岗的教师实践和规范化“双师型”兼职教师的队伍建设，整体提升我院的“双师型”教师比例和教师的双师素质水平。</w:t>
      </w:r>
    </w:p>
    <w:p>
      <w:pPr>
        <w:spacing w:line="600" w:lineRule="exact"/>
        <w:ind w:firstLine="626" w:firstLineChars="195"/>
        <w:rPr>
          <w:rFonts w:hint="eastAsia" w:ascii="仿宋_GB2312" w:eastAsia="仿宋_GB2312"/>
          <w:sz w:val="32"/>
          <w:szCs w:val="32"/>
        </w:rPr>
      </w:pPr>
      <w:r>
        <w:rPr>
          <w:rFonts w:hint="eastAsia" w:ascii="仿宋_GB2312" w:eastAsia="仿宋_GB2312"/>
          <w:b/>
          <w:sz w:val="32"/>
          <w:szCs w:val="32"/>
        </w:rPr>
        <w:t>高素质教师专业梯队建设项目：</w:t>
      </w:r>
      <w:r>
        <w:rPr>
          <w:rFonts w:hint="eastAsia" w:ascii="仿宋_GB2312" w:eastAsia="仿宋_GB2312"/>
          <w:sz w:val="32"/>
          <w:szCs w:val="32"/>
        </w:rPr>
        <w:t>在学院层面通过实施教师分类管理，建立分层次、有针对性的梯队培养机制和创立教师专业梯队建设的平台（教师发展中心）；在个人层面通过指导教师制定职业生涯规划，努力打造一支结构层次化、实践专业化、发展可持续化的梯队型高素质教师队伍，起到激发人才队伍活力，实现学院人才可持续发展的作用。</w:t>
      </w:r>
    </w:p>
    <w:p>
      <w:pPr>
        <w:spacing w:line="600" w:lineRule="exact"/>
        <w:ind w:firstLine="630" w:firstLineChars="196"/>
        <w:rPr>
          <w:rFonts w:hint="eastAsia" w:ascii="仿宋_GB2312" w:eastAsia="仿宋_GB2312"/>
          <w:sz w:val="32"/>
          <w:szCs w:val="32"/>
        </w:rPr>
      </w:pPr>
      <w:r>
        <w:rPr>
          <w:rFonts w:hint="eastAsia" w:ascii="仿宋_GB2312" w:eastAsia="仿宋_GB2312"/>
          <w:b/>
          <w:sz w:val="32"/>
          <w:szCs w:val="32"/>
        </w:rPr>
        <w:t>重点专业品牌团队建设项目：</w:t>
      </w:r>
      <w:r>
        <w:rPr>
          <w:rFonts w:hint="eastAsia" w:ascii="仿宋_GB2312" w:eastAsia="仿宋_GB2312"/>
          <w:sz w:val="32"/>
          <w:szCs w:val="32"/>
        </w:rPr>
        <w:t>从专业品牌创建的角度出发，结合汕头的相关支柱产业发展，通过专业领域细分的互补性专家型专业群建设、采用“教师联合体1+1&gt;2”的新双师培养模式、实施校企合作联合培养和专业团队建设成果的大力推广等措施，重点打造成5支具有外在品牌影响力和内在可持续发展的重点专业教师团队。最终通过重点专业品牌团队建设，起到经验积累和示范作用，提升学院的师资力量和品牌影响力。</w:t>
      </w: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实施创新模式的学业指导教师制建设项目：</w:t>
      </w:r>
      <w:r>
        <w:rPr>
          <w:rFonts w:hint="eastAsia" w:ascii="仿宋_GB2312" w:eastAsia="仿宋_GB2312"/>
          <w:sz w:val="32"/>
          <w:szCs w:val="32"/>
        </w:rPr>
        <w:t>通过建立学业指导教师制的长效机制，培养学业指导教师的指导文化，辅之现代化的配套机制（学业指导教师工作网络平台）和科学有效的考核机制，使学生得到全面健康发展，培养成为高素质、有特色、高技能型人才；使老师更加注重自我教育和自身素养的提升，起到教学相长的作用。</w:t>
      </w:r>
    </w:p>
    <w:p>
      <w:pPr>
        <w:spacing w:line="600" w:lineRule="exact"/>
        <w:ind w:firstLine="630" w:firstLineChars="196"/>
        <w:rPr>
          <w:rFonts w:hint="eastAsia" w:ascii="仿宋_GB2312" w:hAnsi="楷体" w:eastAsia="仿宋_GB2312" w:cs="宋体"/>
          <w:b/>
          <w:kern w:val="0"/>
          <w:sz w:val="32"/>
          <w:szCs w:val="32"/>
        </w:rPr>
      </w:pPr>
      <w:r>
        <w:rPr>
          <w:rFonts w:hint="eastAsia" w:ascii="仿宋_GB2312" w:hAnsi="楷体" w:eastAsia="仿宋_GB2312" w:cs="宋体"/>
          <w:b/>
          <w:kern w:val="0"/>
          <w:sz w:val="32"/>
          <w:szCs w:val="32"/>
        </w:rPr>
        <w:t>五、保障措施</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学院“十三五”人才队伍建设规划主要通过如下机制保障实施：</w:t>
      </w:r>
    </w:p>
    <w:p>
      <w:pPr>
        <w:snapToGrid w:val="0"/>
        <w:spacing w:line="600" w:lineRule="exact"/>
        <w:ind w:firstLine="643" w:firstLineChars="200"/>
        <w:rPr>
          <w:rFonts w:hint="eastAsia" w:ascii="仿宋_GB2312" w:hAnsi="宋体" w:eastAsia="仿宋_GB2312"/>
          <w:sz w:val="32"/>
          <w:szCs w:val="32"/>
        </w:rPr>
      </w:pPr>
      <w:r>
        <w:rPr>
          <w:rFonts w:hint="eastAsia" w:ascii="仿宋_GB2312" w:hAnsi="宋体" w:eastAsia="仿宋_GB2312"/>
          <w:b/>
          <w:sz w:val="32"/>
          <w:szCs w:val="32"/>
        </w:rPr>
        <w:t>人事管理创新：</w:t>
      </w:r>
      <w:r>
        <w:rPr>
          <w:rFonts w:hint="eastAsia" w:ascii="仿宋_GB2312" w:hAnsi="宋体" w:eastAsia="仿宋_GB2312"/>
          <w:sz w:val="32"/>
          <w:szCs w:val="32"/>
        </w:rPr>
        <w:t>实行院系两级管理制度，</w:t>
      </w:r>
      <w:r>
        <w:rPr>
          <w:rFonts w:ascii="仿宋_GB2312" w:hAnsi="宋体" w:eastAsia="仿宋_GB2312"/>
          <w:sz w:val="32"/>
          <w:szCs w:val="32"/>
        </w:rPr>
        <w:t>理顺内部管理体制</w:t>
      </w:r>
      <w:r>
        <w:rPr>
          <w:rFonts w:hint="eastAsia" w:ascii="仿宋_GB2312" w:hAnsi="宋体" w:eastAsia="仿宋_GB2312"/>
          <w:sz w:val="32"/>
          <w:szCs w:val="32"/>
        </w:rPr>
        <w:t>，扩大学系在人才队伍建设中的自主权，调动学系主动性和创造性；完善编制岗位说明书，明确岗位职责、权利义务和任职条件，做到与收入分配制度改革相配套，与现行人事管理政策相衔接，与人才成长规律相结合；按照国家和省市事业单位工资制度改革政策，完善工资改革相关配套方案，稳步推进绩效工资改革，完善聘期考核和年度考核的绩效分配方案；推进绩效工资与绩效考核相对接，完善与工作业绩与实际贡献紧密联系的分配激励机制，调动人才队伍的工作积极性。</w:t>
      </w:r>
    </w:p>
    <w:p>
      <w:pPr>
        <w:spacing w:line="600" w:lineRule="exact"/>
        <w:ind w:firstLine="630" w:firstLineChars="196"/>
        <w:rPr>
          <w:rFonts w:hint="eastAsia" w:ascii="仿宋_GB2312" w:hAnsi="Arial" w:eastAsia="仿宋_GB2312" w:cs="Arial"/>
          <w:sz w:val="32"/>
          <w:szCs w:val="32"/>
        </w:rPr>
      </w:pPr>
      <w:r>
        <w:rPr>
          <w:rFonts w:hint="eastAsia" w:ascii="仿宋_GB2312" w:hAnsi="宋体" w:eastAsia="仿宋_GB2312"/>
          <w:b/>
          <w:sz w:val="32"/>
          <w:szCs w:val="32"/>
        </w:rPr>
        <w:t>人事制度建设</w:t>
      </w:r>
      <w:r>
        <w:rPr>
          <w:rFonts w:hint="eastAsia" w:ascii="仿宋_GB2312" w:hAnsi="宋体" w:eastAsia="仿宋_GB2312"/>
          <w:sz w:val="32"/>
          <w:szCs w:val="32"/>
        </w:rPr>
        <w:t>：积极推进制度创新，进一步完善人才管理的各项制度，建立一套科学有效的管理激励系统</w:t>
      </w:r>
      <w:r>
        <w:rPr>
          <w:rFonts w:hint="eastAsia" w:ascii="仿宋_GB2312" w:hAnsi="Arial" w:eastAsia="仿宋_GB2312" w:cs="Arial"/>
          <w:sz w:val="32"/>
          <w:szCs w:val="32"/>
        </w:rPr>
        <w:t>，主要包括人才引进、培养、“双师型”教师认定等方面的引导类制度、双师型教师考核、绩效考核、年度考核等方面的评价类制度和评优评议等方面的竞争类制度，激发人才在工作、学习和自我提升的主观能动力，为我院人才队伍建设提供制度保障。</w:t>
      </w:r>
    </w:p>
    <w:p>
      <w:pPr>
        <w:spacing w:line="600" w:lineRule="exact"/>
        <w:ind w:firstLine="630" w:firstLineChars="196"/>
        <w:rPr>
          <w:rFonts w:hint="eastAsia" w:ascii="仿宋_GB2312" w:hAnsi="宋体" w:eastAsia="仿宋_GB2312"/>
          <w:sz w:val="32"/>
          <w:szCs w:val="32"/>
        </w:rPr>
      </w:pPr>
      <w:r>
        <w:rPr>
          <w:rFonts w:hint="eastAsia" w:ascii="仿宋_GB2312" w:hAnsi="宋体" w:eastAsia="仿宋_GB2312"/>
          <w:b/>
          <w:sz w:val="32"/>
          <w:szCs w:val="32"/>
        </w:rPr>
        <w:t>组织机构建立</w:t>
      </w:r>
      <w:r>
        <w:rPr>
          <w:rFonts w:hint="eastAsia" w:ascii="仿宋_GB2312" w:hAnsi="宋体" w:eastAsia="仿宋_GB2312"/>
          <w:sz w:val="32"/>
          <w:szCs w:val="32"/>
        </w:rPr>
        <w:t>：建立教师发展中心，内设综合、教师咨询、教师发展和教师评估四个办公室以及高层次人才引进、双师型教师认定、职称评定、师德师风建设、评优评议和</w:t>
      </w:r>
      <w:r>
        <w:rPr>
          <w:rFonts w:ascii="仿宋_GB2312" w:hAnsi="宋体" w:eastAsia="仿宋_GB2312"/>
          <w:sz w:val="32"/>
          <w:szCs w:val="32"/>
        </w:rPr>
        <w:t>薪酬绩效</w:t>
      </w:r>
      <w:r>
        <w:rPr>
          <w:rFonts w:hint="eastAsia" w:ascii="仿宋_GB2312" w:hAnsi="宋体" w:eastAsia="仿宋_GB2312"/>
          <w:sz w:val="32"/>
          <w:szCs w:val="32"/>
        </w:rPr>
        <w:t>等多个专家委员会，旨在为教师职业规划、教师能力发展、教师专业发展、教师教学咨询、教师职业道德、教学技能和教学素养提升以及教师定级、晋级评估等方面提供一个交流合作、研究拓展和科学评估的可持续发展平台。</w:t>
      </w:r>
    </w:p>
    <w:p>
      <w:pPr>
        <w:spacing w:line="600" w:lineRule="exact"/>
        <w:ind w:firstLine="630" w:firstLineChars="196"/>
        <w:rPr>
          <w:rFonts w:hint="eastAsia" w:ascii="仿宋_GB2312" w:hAnsi="宋体" w:eastAsia="仿宋_GB2312"/>
          <w:sz w:val="32"/>
          <w:szCs w:val="32"/>
        </w:rPr>
      </w:pPr>
      <w:r>
        <w:rPr>
          <w:rFonts w:hint="eastAsia" w:ascii="仿宋_GB2312" w:hAnsi="宋体" w:eastAsia="仿宋_GB2312"/>
          <w:b/>
          <w:sz w:val="32"/>
          <w:szCs w:val="32"/>
        </w:rPr>
        <w:t>经费持续投入</w:t>
      </w:r>
      <w:r>
        <w:rPr>
          <w:rFonts w:hint="eastAsia" w:ascii="仿宋_GB2312" w:hAnsi="宋体" w:eastAsia="仿宋_GB2312"/>
          <w:sz w:val="32"/>
          <w:szCs w:val="32"/>
        </w:rPr>
        <w:t>：根据学院人才队伍建设的需要，设立人才队伍建设专项资金，纳入年度预算，专款专用，并逐年递增，与财政拨付的人才队伍建设专项经费一并用于学院人才队伍建设和高层次卫生人才的培养、选拔、奖励和引进。经费使用力求规范程序、科学论证、严格管理，确保人才队伍规划中重点项目的配套经费落实到位。</w:t>
      </w:r>
    </w:p>
    <w:p>
      <w:pPr>
        <w:spacing w:line="600" w:lineRule="exact"/>
        <w:rPr>
          <w:rFonts w:ascii="仿宋_GB2312" w:hAnsi="楷体" w:eastAsia="仿宋_GB2312" w:cs="宋体"/>
          <w:kern w:val="0"/>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jc w:val="center"/>
        <w:rPr>
          <w:rFonts w:hint="eastAsia" w:ascii="宋体" w:hAnsi="宋体"/>
          <w:b/>
          <w:sz w:val="36"/>
          <w:szCs w:val="36"/>
        </w:rPr>
      </w:pPr>
      <w:r>
        <w:rPr>
          <w:rFonts w:hint="eastAsia" w:ascii="宋体" w:hAnsi="宋体"/>
          <w:b/>
          <w:sz w:val="36"/>
          <w:szCs w:val="36"/>
        </w:rPr>
        <w:t>汕头职业技术学院“十三五”教育教学改革规划</w:t>
      </w:r>
    </w:p>
    <w:p>
      <w:pPr>
        <w:spacing w:line="600" w:lineRule="exact"/>
        <w:jc w:val="center"/>
        <w:rPr>
          <w:rFonts w:hint="eastAsia" w:ascii="宋体" w:hAnsi="宋体"/>
          <w:b/>
          <w:sz w:val="36"/>
          <w:szCs w:val="36"/>
        </w:rPr>
      </w:pPr>
      <w:r>
        <w:rPr>
          <w:rFonts w:hint="eastAsia" w:ascii="宋体" w:hAnsi="宋体"/>
          <w:b/>
          <w:sz w:val="36"/>
          <w:szCs w:val="36"/>
        </w:rPr>
        <w:t>（含创新教育和产教融合方面规划）</w:t>
      </w:r>
    </w:p>
    <w:p>
      <w:pPr>
        <w:spacing w:before="312" w:beforeLines="100" w:line="600" w:lineRule="exact"/>
        <w:jc w:val="center"/>
        <w:rPr>
          <w:rFonts w:hint="eastAsia" w:ascii="宋体" w:hAnsi="宋体"/>
          <w:sz w:val="36"/>
          <w:szCs w:val="36"/>
        </w:rPr>
      </w:pPr>
      <w:r>
        <w:rPr>
          <w:rFonts w:hint="eastAsia" w:ascii="宋体" w:hAnsi="宋体"/>
          <w:sz w:val="36"/>
          <w:szCs w:val="36"/>
        </w:rPr>
        <w:t>（2016-2020年）</w:t>
      </w:r>
    </w:p>
    <w:p>
      <w:pPr>
        <w:spacing w:line="600" w:lineRule="exact"/>
        <w:jc w:val="center"/>
        <w:rPr>
          <w:rFonts w:hint="eastAsia" w:ascii="仿宋_GB2312" w:eastAsia="仿宋_GB2312"/>
          <w:b/>
          <w:sz w:val="36"/>
          <w:szCs w:val="36"/>
        </w:rPr>
      </w:pP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一、“十二五”期间发展状况</w:t>
      </w: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（一）主要成就</w:t>
      </w:r>
    </w:p>
    <w:p>
      <w:pPr>
        <w:spacing w:line="600" w:lineRule="exact"/>
        <w:rPr>
          <w:rFonts w:hint="eastAsia" w:ascii="仿宋_GB2312" w:eastAsia="仿宋_GB2312"/>
          <w:sz w:val="32"/>
          <w:szCs w:val="32"/>
        </w:rPr>
      </w:pPr>
      <w:r>
        <w:rPr>
          <w:rFonts w:hint="eastAsia" w:ascii="仿宋_GB2312" w:eastAsia="仿宋_GB2312"/>
          <w:sz w:val="32"/>
          <w:szCs w:val="32"/>
        </w:rPr>
        <w:t xml:space="preserve">    1.教学质量稳步提高，学生的职业素养、职业技能及就业率明显提高；</w:t>
      </w:r>
    </w:p>
    <w:p>
      <w:pPr>
        <w:spacing w:line="600" w:lineRule="exact"/>
        <w:rPr>
          <w:rFonts w:hint="eastAsia" w:ascii="仿宋_GB2312" w:eastAsia="仿宋_GB2312"/>
          <w:sz w:val="32"/>
          <w:szCs w:val="32"/>
        </w:rPr>
      </w:pPr>
      <w:r>
        <w:rPr>
          <w:rFonts w:hint="eastAsia" w:ascii="仿宋_GB2312" w:eastAsia="仿宋_GB2312"/>
          <w:sz w:val="32"/>
          <w:szCs w:val="32"/>
        </w:rPr>
        <w:t xml:space="preserve">    2.推进依法管理，教学管理逐步完善和规范；</w:t>
      </w:r>
    </w:p>
    <w:p>
      <w:pPr>
        <w:spacing w:line="600" w:lineRule="exact"/>
        <w:rPr>
          <w:rFonts w:hint="eastAsia" w:ascii="仿宋_GB2312" w:eastAsia="仿宋_GB2312"/>
          <w:sz w:val="32"/>
          <w:szCs w:val="32"/>
        </w:rPr>
      </w:pPr>
      <w:r>
        <w:rPr>
          <w:rFonts w:hint="eastAsia" w:ascii="仿宋_GB2312" w:eastAsia="仿宋_GB2312"/>
          <w:sz w:val="32"/>
          <w:szCs w:val="32"/>
        </w:rPr>
        <w:t xml:space="preserve">    3.人才培养工作水平逐步提高，专业人才培养方案从面向教学的教学计划提升到适应市场需要；</w:t>
      </w:r>
    </w:p>
    <w:p>
      <w:pPr>
        <w:spacing w:line="600" w:lineRule="exact"/>
        <w:rPr>
          <w:rFonts w:hint="eastAsia" w:ascii="仿宋_GB2312" w:eastAsia="仿宋_GB2312"/>
          <w:sz w:val="32"/>
          <w:szCs w:val="32"/>
        </w:rPr>
      </w:pPr>
      <w:r>
        <w:rPr>
          <w:rFonts w:hint="eastAsia" w:ascii="仿宋_GB2312" w:eastAsia="仿宋_GB2312"/>
          <w:sz w:val="32"/>
          <w:szCs w:val="32"/>
        </w:rPr>
        <w:t xml:space="preserve">    4.产教融合制度初步建立。</w:t>
      </w: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（二）存在的主要问题与不足</w:t>
      </w:r>
    </w:p>
    <w:p>
      <w:pPr>
        <w:spacing w:line="600" w:lineRule="exact"/>
        <w:rPr>
          <w:rFonts w:hint="eastAsia" w:ascii="仿宋_GB2312" w:eastAsia="仿宋_GB2312"/>
          <w:sz w:val="32"/>
          <w:szCs w:val="32"/>
        </w:rPr>
      </w:pPr>
      <w:r>
        <w:rPr>
          <w:rFonts w:hint="eastAsia" w:ascii="仿宋_GB2312" w:eastAsia="仿宋_GB2312"/>
          <w:sz w:val="32"/>
          <w:szCs w:val="32"/>
        </w:rPr>
        <w:t xml:space="preserve">    1.解放思想、更新观念不够。干部和教职员工的教育观念和管理理念仍然跟不上职业教育形势的发展和教学工作的需要。</w:t>
      </w:r>
    </w:p>
    <w:p>
      <w:pPr>
        <w:spacing w:line="600" w:lineRule="exact"/>
        <w:rPr>
          <w:rFonts w:hint="eastAsia" w:ascii="仿宋_GB2312" w:eastAsia="仿宋_GB2312"/>
          <w:sz w:val="32"/>
          <w:szCs w:val="32"/>
        </w:rPr>
      </w:pPr>
      <w:r>
        <w:rPr>
          <w:rFonts w:hint="eastAsia" w:ascii="仿宋_GB2312" w:eastAsia="仿宋_GB2312"/>
          <w:sz w:val="32"/>
          <w:szCs w:val="32"/>
        </w:rPr>
        <w:t xml:space="preserve">    2.教师教学的创新性不足，教学手段和目标仍停留在传授知识的层面，对知识的更新和专业的发展缺乏动力和把握，无法适应新型人才培养的需要。</w:t>
      </w:r>
    </w:p>
    <w:p>
      <w:pPr>
        <w:spacing w:line="600" w:lineRule="exact"/>
        <w:rPr>
          <w:rFonts w:hint="eastAsia" w:ascii="仿宋_GB2312" w:eastAsia="仿宋_GB2312"/>
          <w:sz w:val="32"/>
          <w:szCs w:val="32"/>
        </w:rPr>
      </w:pPr>
      <w:r>
        <w:rPr>
          <w:rFonts w:hint="eastAsia" w:ascii="仿宋_GB2312" w:eastAsia="仿宋_GB2312"/>
          <w:sz w:val="32"/>
          <w:szCs w:val="32"/>
        </w:rPr>
        <w:t>　  3.人才培养模式改革仍要继续深化。校企合作、工学结合体制机制仍不够完善，产教融合机制尚未形成，办学活力不足，校区合作的深度、广度和稳固度相对不足；政府、企业参与学院共建和发展的积极性有待进一步提高；校企合作、工学结合，服务地方经济建设和社会发展等工作仍有待加强。</w:t>
      </w: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二、“十三五”期间面临的形势</w:t>
      </w:r>
    </w:p>
    <w:p>
      <w:pPr>
        <w:spacing w:line="600" w:lineRule="exact"/>
        <w:rPr>
          <w:rFonts w:hint="eastAsia" w:ascii="仿宋_GB2312" w:eastAsia="仿宋_GB2312"/>
          <w:sz w:val="32"/>
          <w:szCs w:val="32"/>
        </w:rPr>
      </w:pPr>
      <w:r>
        <w:rPr>
          <w:rFonts w:hint="eastAsia" w:ascii="仿宋_GB2312" w:eastAsia="仿宋_GB2312"/>
          <w:sz w:val="32"/>
          <w:szCs w:val="32"/>
        </w:rPr>
        <w:t xml:space="preserve">    根据国家的发展规划，高等职业教育将面临大发展，社会对高素质、高技能的人才需求越来越多，要求越来越高，社会的需求与学院的人才培养形成一对供需矛盾，而学院落后的教学管理手段制约教学管理模式，教学管理模式阻碍了教学改革的发展，也要求教师及教学管理对当前社会发展的热点供求具备相当的前瞻性及敏感性。</w:t>
      </w: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三、“十三五”期间发展的指导思想</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全面贯彻党的十八大和十八届三中、四中全会精神，以邓小平理论、“三个代表”重要思想、科学发展观为指导，深入贯彻习近平总书记系列重要讲话精神，围绕把我院建成一流的地方高职院校的目标，全面贯彻党的教育方针和《中华人民共和国高等教育法》以及《中共中央、国务院关于进一步深化教育改革全面推进素质教育的决定》等文件精神，坚持“以人为本，以职业素质培养为核心，为地方经济建设与社会发展服务”的办学理念，遵循教育发展规律，进一步创新办学体制机制，优化教育资源配置，深化教育教学改革，推进专业建设和校企合作办学，增强服务地方经济社会发展能力，彰显学院办学特色，不断提高人才培养质量、办学水平和办学效益，提升学院核心竞争力。</w:t>
      </w: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四、“十三五”期间的发展目标与主要任务</w:t>
      </w:r>
    </w:p>
    <w:p>
      <w:pPr>
        <w:spacing w:line="600" w:lineRule="exact"/>
        <w:ind w:firstLine="570"/>
        <w:rPr>
          <w:rFonts w:hint="eastAsia" w:ascii="仿宋_GB2312" w:eastAsia="仿宋_GB2312"/>
          <w:b/>
          <w:sz w:val="32"/>
          <w:szCs w:val="32"/>
        </w:rPr>
      </w:pPr>
      <w:r>
        <w:rPr>
          <w:rFonts w:hint="eastAsia" w:ascii="仿宋_GB2312" w:eastAsia="仿宋_GB2312"/>
          <w:b/>
          <w:sz w:val="32"/>
          <w:szCs w:val="32"/>
        </w:rPr>
        <w:t>（一）发展目标</w:t>
      </w:r>
    </w:p>
    <w:p>
      <w:pPr>
        <w:spacing w:line="600" w:lineRule="exact"/>
        <w:ind w:firstLine="570"/>
        <w:rPr>
          <w:rFonts w:hint="eastAsia" w:ascii="仿宋_GB2312" w:eastAsia="仿宋_GB2312"/>
          <w:sz w:val="32"/>
          <w:szCs w:val="32"/>
        </w:rPr>
      </w:pPr>
      <w:r>
        <w:rPr>
          <w:rFonts w:hint="eastAsia" w:ascii="仿宋_GB2312" w:eastAsia="仿宋_GB2312"/>
          <w:sz w:val="32"/>
          <w:szCs w:val="32"/>
        </w:rPr>
        <w:t>以解放思想、更新观念为先导，以改革创新为动力，以推进学分制改革和全面素质教育为重点，加强教学内容、方法手段的改革，坚持知识、能力、素质的协调发展。</w:t>
      </w:r>
    </w:p>
    <w:p>
      <w:pPr>
        <w:spacing w:line="600" w:lineRule="exact"/>
        <w:ind w:firstLine="570"/>
        <w:rPr>
          <w:rFonts w:hint="eastAsia" w:ascii="仿宋_GB2312" w:eastAsia="仿宋_GB2312"/>
          <w:sz w:val="32"/>
          <w:szCs w:val="32"/>
        </w:rPr>
      </w:pPr>
      <w:r>
        <w:rPr>
          <w:rFonts w:hint="eastAsia" w:ascii="仿宋_GB2312" w:eastAsia="仿宋_GB2312"/>
          <w:sz w:val="32"/>
          <w:szCs w:val="32"/>
        </w:rPr>
        <w:t>——形成具有综合化、特色化、师范专业与非师范专业并举的专业结构体系；</w:t>
      </w:r>
    </w:p>
    <w:p>
      <w:pPr>
        <w:spacing w:line="600" w:lineRule="exact"/>
        <w:ind w:firstLine="570"/>
        <w:rPr>
          <w:rFonts w:hint="eastAsia" w:ascii="仿宋_GB2312" w:eastAsia="仿宋_GB2312"/>
          <w:sz w:val="32"/>
          <w:szCs w:val="32"/>
        </w:rPr>
      </w:pPr>
      <w:r>
        <w:rPr>
          <w:rFonts w:hint="eastAsia" w:ascii="仿宋_GB2312" w:eastAsia="仿宋_GB2312"/>
          <w:sz w:val="32"/>
          <w:szCs w:val="32"/>
        </w:rPr>
        <w:t>——建成一批有影响力和一定水平的特色专业、优秀课程和教材；</w:t>
      </w:r>
    </w:p>
    <w:p>
      <w:pPr>
        <w:spacing w:line="600" w:lineRule="exact"/>
        <w:ind w:firstLine="570"/>
        <w:rPr>
          <w:rFonts w:hint="eastAsia" w:ascii="仿宋_GB2312" w:eastAsia="仿宋_GB2312"/>
          <w:sz w:val="32"/>
          <w:szCs w:val="32"/>
        </w:rPr>
      </w:pPr>
      <w:r>
        <w:rPr>
          <w:rFonts w:hint="eastAsia" w:ascii="仿宋_GB2312" w:eastAsia="仿宋_GB2312"/>
          <w:sz w:val="32"/>
          <w:szCs w:val="32"/>
        </w:rPr>
        <w:t>——形成适应学院可持续发展需要的教学运行机制、管理模式和有利于培养学生创新精神和实践能力的教学保障体系，确保教学质量不断提高；</w:t>
      </w:r>
    </w:p>
    <w:p>
      <w:pPr>
        <w:spacing w:line="600" w:lineRule="exact"/>
        <w:ind w:firstLine="570"/>
        <w:rPr>
          <w:rFonts w:hint="eastAsia" w:ascii="仿宋_GB2312" w:eastAsia="仿宋_GB2312"/>
          <w:b/>
          <w:sz w:val="32"/>
          <w:szCs w:val="32"/>
        </w:rPr>
      </w:pPr>
      <w:r>
        <w:rPr>
          <w:rFonts w:hint="eastAsia" w:ascii="仿宋_GB2312" w:eastAsia="仿宋_GB2312"/>
          <w:b/>
          <w:sz w:val="32"/>
          <w:szCs w:val="32"/>
        </w:rPr>
        <w:t>（二）主要任务</w:t>
      </w:r>
    </w:p>
    <w:p>
      <w:pPr>
        <w:spacing w:line="600" w:lineRule="exact"/>
        <w:ind w:firstLine="572" w:firstLineChars="178"/>
        <w:rPr>
          <w:rFonts w:hint="eastAsia" w:ascii="仿宋_GB2312" w:eastAsia="仿宋_GB2312"/>
          <w:b/>
          <w:sz w:val="32"/>
          <w:szCs w:val="32"/>
        </w:rPr>
      </w:pPr>
      <w:r>
        <w:rPr>
          <w:rFonts w:hint="eastAsia" w:ascii="仿宋_GB2312" w:eastAsia="仿宋_GB2312"/>
          <w:b/>
          <w:sz w:val="32"/>
          <w:szCs w:val="32"/>
        </w:rPr>
        <w:t>1.改革人才培养模式，提高教学质量</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以提高高技能、高技术、高素质“三高”人才培养质量的根本目的，以培养学生创新创业精神和实践能力为重点，深入推进人才培养模式改革。深入实施职业素质教育，创新创业教育和个性化教育，深化工学结合人才培养模式改革。打破原有的2.5+0.5的模式，使人才培养灵活适应企业、行业的需求；深化课程体系、教学内容、教学方法改革；推行项目教学、案例教学、工作过程导向教学等融“教、学、做”一体的教学模式。改革教学方法和手段，强化“以学生为中心”的理念，广泛运用启发式、探究式、讨论式、参与式教学，推进翻转课堂、微课教学的运用，激发学生主动学习的动力，注重职业养成教育，增强学生学习能力和持续发展能力；系统设计、实施实践教学，探索建立“校中厂”、“厂中校”等，加强定岗实习过程管理，建立以育人为目标的实习实训考核评价体系；充分利用现代信息技术，开发应用开放课程，建设教学资源库，共享优质教学资源。</w:t>
      </w:r>
    </w:p>
    <w:p>
      <w:pPr>
        <w:spacing w:line="600" w:lineRule="exact"/>
        <w:ind w:firstLine="570"/>
        <w:rPr>
          <w:rFonts w:hint="eastAsia" w:ascii="仿宋_GB2312" w:eastAsia="仿宋_GB2312"/>
          <w:b/>
          <w:sz w:val="32"/>
          <w:szCs w:val="32"/>
        </w:rPr>
      </w:pPr>
      <w:r>
        <w:rPr>
          <w:rFonts w:hint="eastAsia" w:ascii="仿宋_GB2312" w:eastAsia="仿宋_GB2312"/>
          <w:b/>
          <w:sz w:val="32"/>
          <w:szCs w:val="32"/>
        </w:rPr>
        <w:t>2.完善并推进学分制改革</w:t>
      </w:r>
    </w:p>
    <w:p>
      <w:pPr>
        <w:spacing w:line="600" w:lineRule="exact"/>
        <w:ind w:firstLine="570"/>
        <w:rPr>
          <w:rFonts w:hint="eastAsia" w:ascii="仿宋_GB2312" w:eastAsia="仿宋_GB2312"/>
          <w:sz w:val="32"/>
          <w:szCs w:val="32"/>
        </w:rPr>
      </w:pPr>
      <w:r>
        <w:rPr>
          <w:rFonts w:hint="eastAsia" w:ascii="仿宋_GB2312" w:eastAsia="仿宋_GB2312"/>
          <w:sz w:val="32"/>
          <w:szCs w:val="32"/>
        </w:rPr>
        <w:t>进一步完善学分制管理制度，完善弹性学制、选课制、重修制以及相应的配套管理措施，力争在较短时间内形成符合我校实际的学分制管理体系和特色，不断提高人才培养质量和办学效益。</w:t>
      </w:r>
    </w:p>
    <w:p>
      <w:pPr>
        <w:spacing w:line="600" w:lineRule="exact"/>
        <w:ind w:firstLine="570"/>
        <w:rPr>
          <w:rFonts w:hint="eastAsia" w:ascii="仿宋_GB2312" w:eastAsia="仿宋_GB2312"/>
          <w:sz w:val="32"/>
          <w:szCs w:val="32"/>
        </w:rPr>
      </w:pPr>
      <w:r>
        <w:rPr>
          <w:rFonts w:hint="eastAsia" w:ascii="仿宋_GB2312" w:eastAsia="仿宋_GB2312"/>
          <w:sz w:val="32"/>
          <w:szCs w:val="32"/>
        </w:rPr>
        <w:t>——着力扩大选课的范围，在做好通识教育课的选课工作的同时，搞好专业选修课的选课工作，探索校际间相互选课的途径和办法；创造条件，尽快实施“选教师”，即实行教师挂牌上课，将竞争机制引入课堂教学。</w:t>
      </w:r>
    </w:p>
    <w:p>
      <w:pPr>
        <w:spacing w:line="600" w:lineRule="exact"/>
        <w:ind w:firstLine="570"/>
        <w:rPr>
          <w:rFonts w:hint="eastAsia" w:ascii="仿宋_GB2312" w:eastAsia="仿宋_GB2312"/>
          <w:sz w:val="32"/>
          <w:szCs w:val="32"/>
        </w:rPr>
      </w:pPr>
      <w:r>
        <w:rPr>
          <w:rFonts w:hint="eastAsia" w:ascii="仿宋_GB2312" w:eastAsia="仿宋_GB2312"/>
          <w:sz w:val="32"/>
          <w:szCs w:val="32"/>
        </w:rPr>
        <w:t>——真正实施弹性学制，提前修满教学计划规定学分的学生，可提前毕业。加紧制定有关鼓励学生科学研究和发明创造的奖励学分的制度、办法；认真实施免修、免听制度。</w:t>
      </w:r>
    </w:p>
    <w:p>
      <w:pPr>
        <w:spacing w:line="600" w:lineRule="exact"/>
        <w:ind w:firstLine="570"/>
        <w:rPr>
          <w:rFonts w:hint="eastAsia" w:ascii="仿宋_GB2312" w:eastAsia="仿宋_GB2312"/>
          <w:sz w:val="32"/>
          <w:szCs w:val="32"/>
        </w:rPr>
      </w:pPr>
      <w:r>
        <w:rPr>
          <w:rFonts w:hint="eastAsia" w:ascii="仿宋_GB2312" w:eastAsia="仿宋_GB2312"/>
          <w:sz w:val="32"/>
          <w:szCs w:val="32"/>
        </w:rPr>
        <w:t>——切实引入竞争机制，贯彻多劳多得，优劳优酬的原则。健全导师制，实行导师对学生学习的全程指导。强化、细化、量化学分制教学管理，在管理的实践中逐步形成一整套有特色的政策体系。</w:t>
      </w:r>
    </w:p>
    <w:p>
      <w:pPr>
        <w:spacing w:line="600" w:lineRule="exact"/>
        <w:ind w:firstLine="570"/>
        <w:rPr>
          <w:rFonts w:hint="eastAsia" w:ascii="仿宋_GB2312" w:eastAsia="仿宋_GB2312"/>
          <w:b/>
          <w:sz w:val="32"/>
          <w:szCs w:val="32"/>
        </w:rPr>
      </w:pPr>
      <w:r>
        <w:rPr>
          <w:rFonts w:hint="eastAsia" w:ascii="仿宋_GB2312" w:eastAsia="仿宋_GB2312"/>
          <w:b/>
          <w:sz w:val="32"/>
          <w:szCs w:val="32"/>
        </w:rPr>
        <w:t>3.改革教学手段与方法，初步实现教学手段与教学管理手段的现代化</w:t>
      </w:r>
    </w:p>
    <w:p>
      <w:pPr>
        <w:spacing w:line="600" w:lineRule="exact"/>
        <w:ind w:firstLine="570"/>
        <w:rPr>
          <w:rFonts w:hint="eastAsia" w:ascii="仿宋_GB2312" w:eastAsia="仿宋_GB2312"/>
          <w:sz w:val="32"/>
          <w:szCs w:val="32"/>
        </w:rPr>
      </w:pPr>
      <w:r>
        <w:rPr>
          <w:rFonts w:hint="eastAsia" w:ascii="仿宋_GB2312" w:eastAsia="仿宋_GB2312"/>
          <w:sz w:val="32"/>
          <w:szCs w:val="32"/>
        </w:rPr>
        <w:t>反对传统的“填鸭式”与“灌入式”、把学生当做知识“容器” 的教学方法，贯彻“经典精讲，多课少时”的原则，提倡“启发式”教学方法，推进“研究性”学习，重归纳推理，分析综合。依托数字化校园，改革现有的教务管理手段，通过网络化的教务管理手段，促进教学管理的科学化、制度化、规范化，尽量采用现代教育技术，打破一支粉笔、一块黑板、一本书老一套的教学模式。</w:t>
      </w:r>
    </w:p>
    <w:p>
      <w:pPr>
        <w:spacing w:line="600" w:lineRule="exact"/>
        <w:ind w:firstLine="570"/>
        <w:rPr>
          <w:rFonts w:hint="eastAsia" w:ascii="仿宋_GB2312" w:eastAsia="仿宋_GB2312"/>
          <w:b/>
          <w:sz w:val="32"/>
          <w:szCs w:val="32"/>
        </w:rPr>
      </w:pPr>
      <w:r>
        <w:rPr>
          <w:rFonts w:hint="eastAsia" w:ascii="仿宋_GB2312" w:eastAsia="仿宋_GB2312"/>
          <w:b/>
          <w:sz w:val="32"/>
          <w:szCs w:val="32"/>
        </w:rPr>
        <w:t>4.深化产教融合，创新校企协同育人机制、加强校企合作在内涵上的对接</w:t>
      </w:r>
    </w:p>
    <w:p>
      <w:pPr>
        <w:spacing w:line="600" w:lineRule="exact"/>
        <w:ind w:firstLine="570"/>
        <w:rPr>
          <w:rFonts w:hint="eastAsia" w:ascii="仿宋_GB2312" w:eastAsia="仿宋_GB2312"/>
          <w:sz w:val="32"/>
          <w:szCs w:val="32"/>
        </w:rPr>
      </w:pPr>
      <w:r>
        <w:rPr>
          <w:rFonts w:hint="eastAsia" w:ascii="仿宋_GB2312" w:eastAsia="仿宋_GB2312"/>
          <w:sz w:val="32"/>
          <w:szCs w:val="32"/>
        </w:rPr>
        <w:t>首先，从制度上保障校企合作的健康发展，完善校企合作机制，探索校企合作共建专业机制，建立“院、系、专业”三级校企合作管理机制；其次，从被动的人才培养拓展到主动的校企合作培养人才，适应行业、企业需求，整合校企资源模式，拓展校企合作新模式。</w:t>
      </w:r>
    </w:p>
    <w:p>
      <w:pPr>
        <w:spacing w:line="600" w:lineRule="exact"/>
        <w:ind w:firstLine="570"/>
        <w:rPr>
          <w:rFonts w:hint="eastAsia" w:ascii="仿宋_GB2312" w:eastAsia="仿宋_GB2312"/>
          <w:b/>
          <w:sz w:val="32"/>
          <w:szCs w:val="32"/>
        </w:rPr>
      </w:pPr>
      <w:r>
        <w:rPr>
          <w:rFonts w:hint="eastAsia" w:ascii="仿宋_GB2312" w:eastAsia="仿宋_GB2312"/>
          <w:b/>
          <w:sz w:val="32"/>
          <w:szCs w:val="32"/>
        </w:rPr>
        <w:t>5.更新教师观念、知识储备及教学技巧</w:t>
      </w:r>
    </w:p>
    <w:p>
      <w:pPr>
        <w:spacing w:line="600" w:lineRule="exact"/>
        <w:ind w:firstLine="570"/>
        <w:rPr>
          <w:rFonts w:hint="eastAsia" w:ascii="仿宋_GB2312" w:eastAsia="仿宋_GB2312"/>
          <w:sz w:val="32"/>
          <w:szCs w:val="32"/>
        </w:rPr>
      </w:pPr>
      <w:r>
        <w:rPr>
          <w:rFonts w:hint="eastAsia" w:ascii="仿宋_GB2312" w:eastAsia="仿宋_GB2312"/>
          <w:sz w:val="32"/>
          <w:szCs w:val="32"/>
        </w:rPr>
        <w:t>不断更新完善教师的知识储备及教学技巧，追踪当前社会对专业需求的热点。根据教师的不同情况，有针对性的开展教师培训，通过岗前培训、在职培训、教师之间帮扶、教学观摩、教学研讨的方式提高教师专业学科和教学的学术水平，用请进来和送出去的形式，追踪社会对专业、学科需求的热点。</w:t>
      </w:r>
    </w:p>
    <w:p>
      <w:pPr>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五、保障措施</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（一）以转变观念为先导，适应高等职业教育发展新形势，与时俱进，形成现代职业教育思想和教育观念，树立以人为本，育才创新的办学理念，强化质量意识，指导、统领学院的教育教学工作向纵深发展。</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1.在教育教学改革上，确立质量观和效益观；在人才培养模式及规格上树立素质教育观念和创新教育观念；在教育发展方向上明确教育可持续发展和终身教育观念。在全校范围内形成科学教育与人文教育并重，通才教育与专业教育并重，知识、能力与素质辩证统一，不可偏废的教育思想。</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2.以人为本，树立教师为主导、学生为主体的思想，在全院范围形成尊重知识、尊重人才的浓厚氛围，明确一切为学生、为教师服务的观念。依靠广大教师办学，增强全体教职工的责任感、事业心和积极性，激发他们的主动性和创造性。</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3.严格按照学院所处的办学层次的质量要求与标准，规范教学管理工作。以提高教学质量作为一切工作的出发点和落脚点，把以教学为中心工作落到实处；形成经费保教学，科研促教学，行政管理后勤服务教学的工作格局，扎扎实实地开展各项教学基本建设和改革，确保教学质量的稳步提高。</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4.将创新创业教育贯穿于学校教育的始终，从整体上推进素质教育，实现学生的全面发展。</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（二）继续深化管理体制改革，明确管理职能，降低管理重心，实行分段负责制。</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教学改革是核心，体制改革是关键。为保证教学改革顺利进行，必须进一步深化管理体制改革。着力解决：</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1.理顺各级管理组织的关系，形成科学决策、规范管理、有效监督的机制，提高学校教学、科研的规模效益和整体管理水平。</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2.明确教务处全面负责学校的教学建设的规划与日常教学管理工作，各系负责本部门教学的具体实施、建设和监督管理的职责。同时，成立由学校、系两级教学指导委员会，负责学校各项教学建设的贯彻落实、检查和评估工作。</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3.实行合同制管理，保证各项建设任务如期保质完成。如确定专业负责人和课程负责人，落实责任制，推动专业和课程建设。</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4.形成以教学考核为重点内容的评聘机制。在岗位聘任、考核与职称晋升中加大教学改革的考核力度，充分调动教师与教学管理人员参与教育教学改革的积极性。</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（三）加强质量监控，保障办学质量</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按照“需求导向、自我保证、多元诊断、重在改进”的工作方针，建立常态化的内部质量保证体系和可持续的诊断与改进工作机制，制订自主诊改工作方案，切实履行人才培养工作质量保证主体的责任。依据人才培养工作状态数据采集与管理平台的数据及相关信息，对内部质量保证体系运行情况及效果每年定期进行自主诊改，不断提高人才培养质量。</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（四）深化教学科研改革，提高教学科研工作水平</w:t>
      </w:r>
    </w:p>
    <w:p>
      <w:pPr>
        <w:spacing w:line="600" w:lineRule="exact"/>
        <w:ind w:firstLine="570"/>
        <w:rPr>
          <w:rFonts w:hint="eastAsia" w:ascii="仿宋_GB2312" w:hAnsi="宋体" w:eastAsia="仿宋_GB2312"/>
          <w:sz w:val="32"/>
          <w:szCs w:val="32"/>
        </w:rPr>
      </w:pPr>
      <w:r>
        <w:rPr>
          <w:rFonts w:hint="eastAsia" w:ascii="仿宋_GB2312" w:hAnsi="宋体" w:eastAsia="仿宋_GB2312"/>
          <w:sz w:val="32"/>
          <w:szCs w:val="32"/>
        </w:rPr>
        <w:t>根据社会和经济发展的需要，调整和优化专业结构，拓宽专业面，增强适应性。加强重点专业、精品课程建设，在经费投入和人员配备上实行倾斜政策，项目经费做到专款专用，以确保建设目标的如期、保质完成，确保在“十三五”期间学院的内涵建设上一个新的台阶。</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jc w:val="center"/>
        <w:rPr>
          <w:rFonts w:hint="eastAsia" w:ascii="宋体" w:hAnsi="宋体"/>
          <w:sz w:val="36"/>
          <w:szCs w:val="36"/>
        </w:rPr>
      </w:pPr>
      <w:r>
        <w:rPr>
          <w:rFonts w:hint="eastAsia" w:ascii="宋体" w:hAnsi="宋体"/>
          <w:b/>
          <w:spacing w:val="-6"/>
          <w:sz w:val="36"/>
          <w:szCs w:val="36"/>
        </w:rPr>
        <w:t>汕头职业技术学院“十三五”专业建设、课程建设规划</w:t>
      </w:r>
    </w:p>
    <w:p>
      <w:pPr>
        <w:spacing w:before="312" w:beforeLines="100" w:line="600" w:lineRule="exact"/>
        <w:jc w:val="center"/>
        <w:rPr>
          <w:rFonts w:hint="eastAsia" w:ascii="仿宋_GB2312" w:hAnsi="宋体" w:eastAsia="仿宋_GB2312" w:cs="Calibri"/>
          <w:b/>
          <w:sz w:val="36"/>
          <w:szCs w:val="36"/>
        </w:rPr>
      </w:pPr>
      <w:r>
        <w:rPr>
          <w:rFonts w:hint="eastAsia" w:ascii="宋体" w:hAnsi="宋体"/>
          <w:sz w:val="36"/>
          <w:szCs w:val="36"/>
        </w:rPr>
        <w:t>（2016-2020年）</w:t>
      </w:r>
    </w:p>
    <w:p>
      <w:pPr>
        <w:spacing w:line="600" w:lineRule="exact"/>
        <w:ind w:firstLine="630" w:firstLineChars="196"/>
        <w:rPr>
          <w:rFonts w:hint="eastAsia" w:ascii="仿宋_GB2312" w:hAnsi="宋体" w:eastAsia="仿宋_GB2312" w:cs="宋体"/>
          <w:b/>
          <w:sz w:val="32"/>
          <w:szCs w:val="32"/>
        </w:rPr>
      </w:pP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一、“十二五”期间发展状况</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（一）“十二五”期间取得的主要成绩</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1.专业、课程建设水平逐步提高</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十二五”期间，学院依据专业建设发展规划，围绕汕头市产业发展重点，及时围绕汕头华侨经济文化合作试验区建设及21世纪海上丝绸之路国家战略布局，不断优化专业结构，设置财经、旅游、环保、制造、土建、电子信息、文化教育、艺术设计等专业门类，新增设了《社区管理与服务》及《移动互联网应用技术》等多个专业，截止目前共开设59个大专专业(含方向)和10多个中职类专业；申报对口自主招生三二分段的试点专业2个（对接中职学校3所）；以中央财政支持专业（生物教育、美术教育）和省重点培育专业（机电一体化）建设为抓手，以“创新强校”工程为契机，加强了专业与课程建设，建有院级重点专业13个，院级特色专业7个、院级示范性专业9个，院级重点课程18门、院级精品课程18门。</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2.校企合作硕果累累</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学院顺应省市产业结构的调整与发展趋势，依据就业结构和社会对人才需要多样化的特点，以“合作办学、合作育人、合作就业、合作发展”为引导，紧密结合行业和区域经济社会发展的需求，以“校企合作”、“工学结合”为突破口，立足通过“走出去”和“引进来”的校企合作思路，建立了学校、企业、学生“三赢”的办学新模式。“十二五”期间，学院先后与汕头超声研究所有限公司、广东领域集团有限公司、中国电信股份有限公司汕头分公司等60家企事业单位举办合作，开展“订单式”人才培养，与企业实现教学互动，为学院提高技术技能人才的培养质量提供了支撑。</w:t>
      </w:r>
    </w:p>
    <w:p>
      <w:pPr>
        <w:spacing w:line="600" w:lineRule="exact"/>
        <w:ind w:firstLine="643" w:firstLineChars="200"/>
        <w:rPr>
          <w:rFonts w:hint="eastAsia" w:ascii="仿宋_GB2312" w:hAnsi="宋体" w:eastAsia="仿宋_GB2312" w:cs="宋体"/>
          <w:b/>
          <w:sz w:val="32"/>
          <w:szCs w:val="32"/>
        </w:rPr>
      </w:pPr>
      <w:r>
        <w:rPr>
          <w:rFonts w:hint="eastAsia" w:ascii="仿宋_GB2312" w:hAnsi="宋体" w:eastAsia="仿宋_GB2312" w:cs="宋体"/>
          <w:b/>
          <w:sz w:val="32"/>
          <w:szCs w:val="32"/>
        </w:rPr>
        <w:t>3.教学改革逐渐深入，人才培养质量稳步提高</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按照“厚基础、宽口径”的原则，学院多次组织修订人才培养方案，人才培养方案不断优化，教学内容、教学方法等改革不断深入。通识课方面，大学英语实行分级教学改革，高等数学进行分层教学改革试点。专业课教学按照“少而精”的要求，进一步突出了专业内核。在授课方法和考核方式的改革上，大力倡导启发式、案例式和研究式等创新授课方法，改变了单纯闭卷考试形式，尝试增加口试、课程论文、开卷考试等多种考核形式。</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教学改革的不断推进，使人才培养质量再上新台阶。2014年学院学生获广东省首届高等院校英语专业师范生教学技能大赛总决赛特等奖和一等奖；2015年荣获第六届广东省大学生翻译大赛高职高专组笔译组一等奖；获2015年度广东大学生科技创新培育专项资金４万元等等。</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（二）“十二五”期间存在的主要问题与不足</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1.课程、专业建设整体水平有待进一步提高，专业群尚未完全形成</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与高职院校人才培养模式改革和区域产业结构升级和社会发展的需要相比，学院的课程及专业建设仍存在一定差距，缺少有代表性的建设成果，专业群尚未完全形成。</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2.教师缺乏进行改革和转型的积极性</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师资培训滞后、教师学术能力不足、传统教师评价制度的不完善等原因，导致教师缺乏参与改革的积极性。</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3.专业建设投入不足</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建设场地及经费不足，导致开展学术交流、实验室建设及相应专业建设工作难以实现跨越式发展；办学基础设施不足，缺乏必要的、先进的教学和科研设备，图书资料的数量与更新速度满足不了专业发展的需要。</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4.学科专业梯队人员结构不尽合理</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师资队伍是制约专业、课程建设发展的瓶颈。师资队伍整体数量、结构尚不合理，特别是各专业普遍缺乏高水平的学科专业带头人和专业教学骨干，大部分专业尚未形成良好的学科专业梯队，甚至出现专业人才断层现象。</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二、“十三五”期间面临的形势</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十三五”期间是高等职业教育大发展、大变革的时期，国家前所未有的重视职业教育，并加大对职业教育的投入，加大职业教育快速发展的支持力度，从而使职业教育步入了高速发展的快车道。高职院校近几年已经走出了规模增长的急速扩张时期，转而进入强化内涵建设的稳定发展时期，各职业院校更加注重规模、质量、效益的协调发展，办学水平和教学质量成为取胜的主要因素、关键因素。因此，强化内涵建设，创新发展成为各高职院校取胜的法宝。</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三、“十三五”期间发展的指导思想</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（一）</w:t>
      </w:r>
      <w:r>
        <w:rPr>
          <w:rFonts w:hint="eastAsia" w:ascii="仿宋_GB2312" w:hAnsi="宋体" w:eastAsia="仿宋_GB2312"/>
          <w:sz w:val="32"/>
          <w:szCs w:val="32"/>
        </w:rPr>
        <w:t>以邓小平理论、“三个代表”重要思想、科学发展观为指导，深入贯彻习近平总书记系列重要讲话精神，全面贯彻党的教育方针，深化教育教学改革，大力实施“质量立校、人才强校、文化塑校和特色立校”战略，坚持以人才培养为根本，以教学工作为中心，以学科专业建设为龙头，</w:t>
      </w:r>
      <w:r>
        <w:rPr>
          <w:rFonts w:hint="eastAsia" w:ascii="仿宋_GB2312" w:hAnsi="宋体" w:eastAsia="仿宋_GB2312" w:cs="宋体"/>
          <w:sz w:val="32"/>
          <w:szCs w:val="32"/>
        </w:rPr>
        <w:t>依托现有的专业优势及专业基础，充分考虑粤东地区经济和社会发展的需求对人才的需要，科学、合理地做好专业设置和调整工作；对课程设置、课程内容进行细化研究，在不断提高办学质量的基础上，结合各专业特点，逐步发展建设非师范类专业，彰显学院办学特色；</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二）有利于培养德智体全面发展、基础扎实、知识面宽、能力强、素质高、具有创新精神和实践能力的应用性人才，全面促进人才培养模式、课程体系、教学内容、教学管理、教学方法和手段的整体改革与建设；</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（三）系统推进，重点突破，发扬优势，彰显特色，进一步提高学生创新能力。</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四 、“十三五”期间的发展目标与主要任务</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（一）发展目标</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在巩固原有专业的基础上，统筹规划，优化结构，适度调整。继续推动中央财政支持的生物教育和美术教育专业的建设；争取机电一体化技术专业通过省的验收，成为省重点专业；加大“创新强校工程”</w:t>
      </w:r>
      <w:r>
        <w:rPr>
          <w:rFonts w:hint="eastAsia" w:ascii="仿宋_GB2312" w:hAnsi="宋体" w:eastAsia="仿宋_GB2312"/>
          <w:sz w:val="32"/>
          <w:szCs w:val="32"/>
        </w:rPr>
        <w:t xml:space="preserve"> </w:t>
      </w:r>
      <w:r>
        <w:rPr>
          <w:rFonts w:hint="eastAsia" w:ascii="仿宋_GB2312" w:hAnsi="宋体" w:eastAsia="仿宋_GB2312" w:cs="宋体"/>
          <w:sz w:val="32"/>
          <w:szCs w:val="32"/>
        </w:rPr>
        <w:t>教学质量与教学改革类项目的建设力度；争取在“十三五”期间，建设2个省级示范性专业、4个省级特色专业、1-2个省级品牌专业、6个院级重点专业、12个院级特色专业。根据社会急需，新增5-6个新专业。</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（二）主要任务</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1.适应区域经济社会发展对人才需求，推进部分专业转型改革</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以培养满足粤东地区乃至全省各行业需求的综合素质高的专业技术人才为目标，对现有专业结构进行整体思考、系统设计和全面调整。以“淘旧改老、扶优强特、创新增急”为工作目标，淘汰缺乏市场生命力的专业、改造老专业、压缩部分师范类专业。力争在“十三五”期间新办、新增《食品检测技术》、《统计实务》、《电气自动化技术》、《物联网应用技术》、《玩具设计》、《工业机器人》等适应社会需求的专业，撤销或调整少数不适应社会需求的专业。</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2.加大力度扎实推进专业建设</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立足粤东地区及广东省地方经济建设和社会发展的需要，根据教育部公布的新专业目录以及学院专业设置的实际情况及发展水平，推进专业设置，逐步形成特色和“品牌”，努力做到“人无我有，人有我优，人优我精”。“十三五”期间，有计划、有重点、分级、分批重点建设《建筑工程管理》、《计算机网络技术》、《机电一体化技术》、《会计电算化》、《商务英语》、《生物教育》、《语文教育》、《音乐教育》、《美术教育》、《学前教育》等师资力量强、教学条件好、教学质量高、社会经济效益和特色鲜明的专业。</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3.对接产业链，加强优势专业群建设</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专业群建设关系到学院专业布局和办学特色的形成，搞好专业群建设，对实现人才培养目标，突出办学特色，提高核心竞争力，深化内涵建设具有积极的推动作用。考虑企业岗位的设置背景和学院的实际，通过对产业链应用性人才需求状况的结构分析，学院推动了“电子商务类”、“旅游管理”和“艺术设计”等优势专业（群）建设。未来五年，学院将加强对优势专业群的建设，力争形成“电子商务类”、“旅游管理”、“艺术设计”、“机电一体化”和“移动互联网”等专业群，发挥其辐射带动作用，彰显学院办学特色。</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4.深化课程体系改革，推进课程建设和教学资源库建设，推进课程项目化</w:t>
      </w:r>
    </w:p>
    <w:p>
      <w:pPr>
        <w:widowControl/>
        <w:shd w:val="clear" w:color="auto" w:fill="FFFFFF"/>
        <w:spacing w:line="600" w:lineRule="exact"/>
        <w:ind w:firstLine="640" w:firstLineChars="200"/>
        <w:jc w:val="left"/>
        <w:rPr>
          <w:rFonts w:hint="eastAsia" w:ascii="仿宋_GB2312" w:hAnsi="宋体" w:eastAsia="仿宋_GB2312" w:cs="宋体"/>
          <w:sz w:val="32"/>
          <w:szCs w:val="32"/>
        </w:rPr>
      </w:pPr>
      <w:r>
        <w:rPr>
          <w:rFonts w:hint="eastAsia" w:ascii="仿宋_GB2312" w:hAnsi="宋体" w:eastAsia="仿宋_GB2312" w:cs="宋体"/>
          <w:sz w:val="32"/>
          <w:szCs w:val="32"/>
        </w:rPr>
        <w:t>深化课程体系改革，按照“面向全体、分类施教、结合专业、强化实践”的原则完善创新创业教育课程体系。紧紧围绕“从业资格证+特长、技能（技术等级证）+特长”设置课程，将行业企业技术标准引入专业课程教学，建设一批优质核心课程；加强主干课程，在原有公共必修课的基础上增设选修课，突出专业人才培养定位与特色，着重培养学生创新创业的实际运用能力。</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推动课程项目化，实现岗位与课程的对接；实行课程负责人制度，提高课程建设水平。“十三五”期间, 力争建成2-3门省级精品资源共享课，1-2门工学结合的优质核心课程，20门以上院级精品课程和2门以上的院级课程教学资源库。</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5.加强教材的选编管理，推进教材建设</w:t>
      </w:r>
    </w:p>
    <w:p>
      <w:pPr>
        <w:widowControl/>
        <w:shd w:val="clear" w:color="auto" w:fill="FFFFFF"/>
        <w:spacing w:line="600" w:lineRule="exact"/>
        <w:ind w:firstLine="640" w:firstLineChars="200"/>
        <w:jc w:val="left"/>
        <w:rPr>
          <w:rFonts w:hint="eastAsia" w:ascii="仿宋_GB2312" w:hAnsi="宋体" w:eastAsia="仿宋_GB2312" w:cs="宋体"/>
          <w:sz w:val="32"/>
          <w:szCs w:val="32"/>
        </w:rPr>
      </w:pPr>
      <w:r>
        <w:rPr>
          <w:rFonts w:hint="eastAsia" w:ascii="仿宋_GB2312" w:hAnsi="宋体" w:eastAsia="仿宋_GB2312" w:cs="宋体"/>
          <w:sz w:val="32"/>
          <w:szCs w:val="32"/>
        </w:rPr>
        <w:t>不断完善教材选用和编写的管理办法，尽量采用教育部组织编写的面向21世纪的新教材以及名牌高校协作编写的教材，以保证教材选用上的优秀性、先进性；组织专业带头人、优秀青年教师、行业企业专家、创业教育机构编写研发科学适用的教材和课件，形成一批能满足学生需求的校本教材。</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6.适应人才培养需要，大力推进教育教学改革</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（1）人才培养模式改革</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——进一步完善“2.5+0.5”人才培养模式；大力推进校企合作、厂中校、校中厂、企业（车间）+教室，产学结合、产教融合，尝试“引企入校”、“移教入厂”的人才培养模式；</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——积极探索“现代学徒制”以及“双主体办学”的人才培养模式；</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——加大“订单式”人才培养的推进力度，力争每个专业都要开展“订单式”人才培养；</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——积极稳妥推进中高职衔接“3+2”贯通人才培养模式，形成适应发展需求、产教深度融合，中高职优势互补、衔接贯通的培养体系。</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（2）理论和实践教学相融合，提升教学质量</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加强专业基础课与专业课间的相互融通和配合，强化专业基础课和专业课实践教学，形成对接紧密、特色鲜明、动态调整、职业精神与职业技能培养高度融合的人才培养方案。注重学生文化素养、科学素养、综合职业能力和可持续发展能力的培养，将德育、传统文化教育、创新创业教育等课程融入课程体系。</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（3）教学模式改革</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以培养和提高学生自我获取知识的能力为重点，充分发挥现代教学手段，深入推广项目教学、案例教学、情景教学、工作过程导向教学模式，广泛运用启发式、探究式、讨论式、参与式教学方法，充分激发学生的学习兴趣和积极性。以校企合作为基础，扎实推进任务驱动、项目导向等“教、学、做”一体化教学模式，提高课堂教学效果。</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（4）信息化引入教学，推动教育教学的发展</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多方位的开展教师信息化教学能力培养，使其树立现代教育教学理念，掌握教育技术的基本理论与方法，提高教育技术实践与应用能力，促进教师教育技术素养与专业能力的提升，为教育教学改革和创新型人才培养服务。</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五、保障措施</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（一）加强组织领导，完善专业建设与发展的运行机制</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建立校内专业建设定期评价制度，对专业建设规划、教学团队、课程建设、实践教学、建设成效等内容进行定期评价，促进各系重视并加强专业建设。改进教学评价和奖励机制，引导教师把教学作为首要任务，积极参与教学改革。</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（二）深入研判，建立常态化的内部质量保证体系和可持续的诊断与改进工作机制</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以《国务院关于加快发展现代职业教育的决定》精神为指导，按照《高等职业院校内部质量保证体系诊断与改进指导方案》要求，结合学院实际，以完善质量标准和制度、提高利益相关方对人才培养工作的满意度为目标，按照“需求导向、自我保证，多元诊断、重在改进”的工作方针，切实履行人才培养工作质量保证主体的责任，建立常态化的内部质量保证体系和可持续的诊断与改进工作机制，完善用人单位、教师、学生共同参与的教学质量保障与评价的长效机制，不断提高人才培养质量。</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（三）多方协同，确保教学工作的中心地位</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多方协同，强化教学工作的核心地位，形成领导重视教学、教师热爱教学、科研促进教学、管理服务教学、投入优先教学、后勤保障教学的良性机制；统筹学院教学、学生活动的经费等资源，加大对专业建设、课程建设以及学院教育教学模式改革的投入力度，保证“创新强校” 工程建设项目的经费投入。</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（四）加大教师培养、引进力度</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推进教师队伍的建设，建设一支“数量足够、专兼结合、结构合理、素质优良，符合高技能人才培养目标要求并具有国际化视野”的“双师型”教师队伍。力争实现副高以上职称的教师占35%，重点专业和新增专业的师资配备问题得以解决，各专业均具备1-2名专业带头人和3-5名骨干教师，形成良好的学科专业梯队。</w:t>
      </w:r>
    </w:p>
    <w:p>
      <w:pPr>
        <w:spacing w:line="600" w:lineRule="exact"/>
        <w:ind w:firstLine="630" w:firstLineChars="196"/>
        <w:rPr>
          <w:rFonts w:hint="eastAsia" w:ascii="仿宋_GB2312" w:hAnsi="宋体" w:eastAsia="仿宋_GB2312" w:cs="宋体"/>
          <w:b/>
          <w:sz w:val="32"/>
          <w:szCs w:val="32"/>
        </w:rPr>
      </w:pPr>
      <w:r>
        <w:rPr>
          <w:rFonts w:hint="eastAsia" w:ascii="仿宋_GB2312" w:hAnsi="宋体" w:eastAsia="仿宋_GB2312" w:cs="宋体"/>
          <w:b/>
          <w:sz w:val="32"/>
          <w:szCs w:val="32"/>
        </w:rPr>
        <w:t>（五）规范教学管理，完善制度建设</w:t>
      </w:r>
    </w:p>
    <w:p>
      <w:pPr>
        <w:spacing w:line="600" w:lineRule="exact"/>
        <w:ind w:firstLine="627" w:firstLineChars="196"/>
        <w:rPr>
          <w:rFonts w:hint="eastAsia" w:ascii="仿宋_GB2312" w:hAnsi="宋体" w:eastAsia="仿宋_GB2312" w:cs="宋体"/>
          <w:sz w:val="32"/>
          <w:szCs w:val="32"/>
        </w:rPr>
      </w:pPr>
      <w:r>
        <w:rPr>
          <w:rFonts w:hint="eastAsia" w:ascii="仿宋_GB2312" w:hAnsi="宋体" w:eastAsia="仿宋_GB2312" w:cs="宋体"/>
          <w:sz w:val="32"/>
          <w:szCs w:val="32"/>
        </w:rPr>
        <w:t>落实《广东省高等职业院校教学管理要点》(粤教高函〔2013〕170号)多项要求，借学院ISO9001质量管理体系贯标之机，进一步完善、落实各项教学管理规章制度，严格执行专业建设、课程建设、教材建设等方面的相关管理制度，不断改进教学质量监控与保障体系，强化教学质量的过程管理。规范教学管理人员的岗位职责，促使管理人员把转变教学管理观念，改进工作作风，积极进行教学管理的理论研究和实践创新，推进教学管理规范化、制度化、科学化。</w:t>
      </w:r>
    </w:p>
    <w:p>
      <w:pPr>
        <w:spacing w:line="600" w:lineRule="exact"/>
        <w:ind w:firstLine="627" w:firstLineChars="196"/>
        <w:rPr>
          <w:rFonts w:hint="eastAsia" w:ascii="仿宋_GB2312" w:hAnsi="宋体" w:eastAsia="仿宋_GB2312" w:cs="宋体"/>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380" w:lineRule="atLeast"/>
        <w:rPr>
          <w:rFonts w:hint="eastAsia" w:ascii="仿宋_GB2312" w:hAnsi="宋体" w:eastAsia="仿宋_GB2312"/>
          <w:sz w:val="32"/>
          <w:szCs w:val="32"/>
        </w:rPr>
      </w:pPr>
    </w:p>
    <w:p>
      <w:pPr>
        <w:spacing w:line="380" w:lineRule="atLeast"/>
        <w:jc w:val="center"/>
        <w:rPr>
          <w:b/>
          <w:bCs/>
          <w:sz w:val="36"/>
        </w:rPr>
      </w:pPr>
      <w:r>
        <w:rPr>
          <w:rFonts w:hint="eastAsia"/>
          <w:b/>
          <w:bCs/>
          <w:sz w:val="36"/>
        </w:rPr>
        <w:t>汕头职业技术学院“十三五”发展规划·校园基本建设规划</w:t>
      </w:r>
    </w:p>
    <w:p>
      <w:pPr>
        <w:tabs>
          <w:tab w:val="left" w:pos="360"/>
        </w:tabs>
        <w:spacing w:before="312" w:beforeLines="100" w:line="600" w:lineRule="exact"/>
        <w:jc w:val="center"/>
        <w:rPr>
          <w:rFonts w:hint="eastAsia" w:ascii="宋体" w:hAnsi="宋体"/>
          <w:sz w:val="36"/>
          <w:szCs w:val="36"/>
        </w:rPr>
      </w:pPr>
      <w:r>
        <w:rPr>
          <w:rFonts w:hint="eastAsia" w:ascii="宋体" w:hAnsi="宋体"/>
          <w:sz w:val="36"/>
          <w:szCs w:val="36"/>
        </w:rPr>
        <w:t>（2016—2020年）</w:t>
      </w:r>
    </w:p>
    <w:p>
      <w:pPr>
        <w:tabs>
          <w:tab w:val="left" w:pos="360"/>
        </w:tabs>
        <w:spacing w:line="480" w:lineRule="exact"/>
        <w:ind w:firstLine="568" w:firstLineChars="203"/>
        <w:rPr>
          <w:rFonts w:hint="eastAsia"/>
          <w:sz w:val="28"/>
          <w:szCs w:val="28"/>
        </w:rPr>
      </w:pP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学院自合并成立以来，经过汕职人多年齐心协力的艰苦奋斗，教育和教学管理、基础设施建设等各项工作运作正常，呈现了一个良好的发展势头。目前，学院基础设施基本能满足现有的教学需要，但按照国家关于高等院校办学条件的有关规定和学院未来发展的需要，我院还必须下大力气，加大投资，增加对学院本部基础设施建设的投入。学院未来几年的基础设施建设规划如下：</w:t>
      </w:r>
    </w:p>
    <w:p>
      <w:pPr>
        <w:spacing w:line="600" w:lineRule="exact"/>
        <w:ind w:firstLine="630" w:firstLineChars="196"/>
        <w:rPr>
          <w:rFonts w:hint="eastAsia" w:ascii="仿宋_GB2312" w:eastAsia="仿宋_GB2312"/>
          <w:b/>
          <w:bCs/>
          <w:sz w:val="32"/>
          <w:szCs w:val="32"/>
        </w:rPr>
      </w:pPr>
      <w:r>
        <w:rPr>
          <w:rFonts w:hint="eastAsia" w:ascii="仿宋_GB2312" w:eastAsia="仿宋_GB2312"/>
          <w:b/>
          <w:bCs/>
          <w:sz w:val="32"/>
          <w:szCs w:val="32"/>
        </w:rPr>
        <w:t>一、学院现有的基础设施建设状况</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 xml:space="preserve">学院本部位于风光秀丽的汕头市南区东湖山麓，占地436.39亩；金园校区位于汕头市区金园路，占地56.14亩；新津校区115.01亩；东墩校区24.91亩，总占地面积为632.45亩。市政府规划给我院的在院本部北侧的规划用地450亩；目前学院校舍总建筑面积约21.5万平方米，拥有比较完善的教学、实习实训、生活、运动等设施。全学院的校舍建筑面积及其功能现状如下：       </w:t>
      </w:r>
    </w:p>
    <w:p>
      <w:pPr>
        <w:tabs>
          <w:tab w:val="left" w:pos="360"/>
        </w:tabs>
        <w:spacing w:line="600" w:lineRule="exact"/>
        <w:jc w:val="center"/>
        <w:rPr>
          <w:rFonts w:hint="eastAsia" w:ascii="仿宋_GB2312" w:eastAsia="仿宋_GB2312"/>
          <w:sz w:val="32"/>
          <w:szCs w:val="32"/>
        </w:rPr>
      </w:pPr>
    </w:p>
    <w:p>
      <w:pPr>
        <w:tabs>
          <w:tab w:val="left" w:pos="360"/>
        </w:tabs>
        <w:spacing w:line="600" w:lineRule="exact"/>
        <w:jc w:val="center"/>
        <w:rPr>
          <w:rFonts w:hint="eastAsia" w:ascii="仿宋_GB2312" w:eastAsia="仿宋_GB2312"/>
          <w:sz w:val="32"/>
          <w:szCs w:val="32"/>
        </w:rPr>
      </w:pPr>
    </w:p>
    <w:p>
      <w:pPr>
        <w:tabs>
          <w:tab w:val="left" w:pos="360"/>
        </w:tabs>
        <w:spacing w:line="600" w:lineRule="exact"/>
        <w:jc w:val="center"/>
        <w:rPr>
          <w:rFonts w:hint="eastAsia" w:ascii="仿宋_GB2312" w:eastAsia="仿宋_GB2312"/>
          <w:sz w:val="32"/>
          <w:szCs w:val="32"/>
        </w:rPr>
      </w:pPr>
    </w:p>
    <w:p>
      <w:pPr>
        <w:tabs>
          <w:tab w:val="left" w:pos="360"/>
        </w:tabs>
        <w:spacing w:line="600" w:lineRule="exact"/>
        <w:jc w:val="center"/>
        <w:rPr>
          <w:rFonts w:hint="eastAsia" w:ascii="仿宋_GB2312" w:eastAsia="仿宋_GB2312"/>
          <w:sz w:val="32"/>
          <w:szCs w:val="32"/>
        </w:rPr>
      </w:pPr>
      <w:r>
        <w:rPr>
          <w:rFonts w:hint="eastAsia" w:ascii="仿宋_GB2312" w:eastAsia="仿宋_GB2312"/>
          <w:b/>
          <w:sz w:val="32"/>
          <w:szCs w:val="32"/>
        </w:rPr>
        <w:t>学院建筑面积统计表</w:t>
      </w:r>
    </w:p>
    <w:p>
      <w:pPr>
        <w:tabs>
          <w:tab w:val="left" w:pos="360"/>
        </w:tabs>
        <w:snapToGrid w:val="0"/>
        <w:spacing w:after="156" w:afterLines="50" w:line="600" w:lineRule="exact"/>
        <w:jc w:val="left"/>
        <w:rPr>
          <w:rFonts w:hint="eastAsia" w:ascii="仿宋_GB2312" w:eastAsia="仿宋_GB2312"/>
          <w:sz w:val="32"/>
          <w:szCs w:val="32"/>
        </w:rPr>
      </w:pPr>
      <w:r>
        <w:rPr>
          <w:rFonts w:hint="eastAsia" w:ascii="仿宋_GB2312" w:eastAsia="仿宋_GB2312"/>
          <w:sz w:val="32"/>
          <w:szCs w:val="32"/>
        </w:rPr>
        <w:t>单位：平方米</w:t>
      </w:r>
    </w:p>
    <w:tbl>
      <w:tblPr>
        <w:tblStyle w:val="26"/>
        <w:tblW w:w="10282" w:type="dxa"/>
        <w:jc w:val="center"/>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1513"/>
        <w:gridCol w:w="1296"/>
        <w:gridCol w:w="1676"/>
        <w:gridCol w:w="1676"/>
        <w:gridCol w:w="1648"/>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类型</w:t>
            </w: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用途</w:t>
            </w:r>
          </w:p>
        </w:tc>
        <w:tc>
          <w:tcPr>
            <w:tcW w:w="1296"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院本部</w:t>
            </w:r>
          </w:p>
        </w:tc>
        <w:tc>
          <w:tcPr>
            <w:tcW w:w="1676"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金园校区</w:t>
            </w:r>
          </w:p>
        </w:tc>
        <w:tc>
          <w:tcPr>
            <w:tcW w:w="1676"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新津校区</w:t>
            </w:r>
          </w:p>
        </w:tc>
        <w:tc>
          <w:tcPr>
            <w:tcW w:w="1648"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东墩校区</w:t>
            </w:r>
          </w:p>
        </w:tc>
        <w:tc>
          <w:tcPr>
            <w:tcW w:w="1251"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restart"/>
            <w:vAlign w:val="center"/>
          </w:tcPr>
          <w:p>
            <w:pPr>
              <w:widowControl/>
              <w:spacing w:line="500" w:lineRule="exact"/>
              <w:jc w:val="center"/>
              <w:rPr>
                <w:rFonts w:hint="eastAsia" w:ascii="仿宋_GB2312" w:hAnsi="宋体" w:eastAsia="仿宋_GB2312" w:cs="宋体"/>
                <w:kern w:val="0"/>
                <w:sz w:val="32"/>
                <w:szCs w:val="32"/>
              </w:rPr>
            </w:pPr>
          </w:p>
          <w:p>
            <w:pPr>
              <w:widowControl/>
              <w:spacing w:line="440" w:lineRule="exact"/>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教学科研及辅助用房</w:t>
            </w: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教室</w:t>
            </w:r>
          </w:p>
        </w:tc>
        <w:tc>
          <w:tcPr>
            <w:tcW w:w="1296" w:type="dxa"/>
            <w:vAlign w:val="center"/>
          </w:tcPr>
          <w:p>
            <w:pPr>
              <w:widowControl/>
              <w:jc w:val="center"/>
              <w:rPr>
                <w:rFonts w:eastAsia="仿宋_GB2312"/>
                <w:kern w:val="0"/>
                <w:sz w:val="24"/>
                <w:szCs w:val="24"/>
              </w:rPr>
            </w:pPr>
            <w:r>
              <w:rPr>
                <w:rFonts w:eastAsia="仿宋_GB2312"/>
                <w:kern w:val="0"/>
                <w:sz w:val="24"/>
                <w:szCs w:val="24"/>
              </w:rPr>
              <w:t>24528.11</w:t>
            </w:r>
          </w:p>
        </w:tc>
        <w:tc>
          <w:tcPr>
            <w:tcW w:w="1676" w:type="dxa"/>
            <w:vAlign w:val="center"/>
          </w:tcPr>
          <w:p>
            <w:pPr>
              <w:widowControl/>
              <w:jc w:val="center"/>
              <w:rPr>
                <w:rFonts w:eastAsia="仿宋_GB2312"/>
                <w:kern w:val="0"/>
                <w:sz w:val="24"/>
                <w:szCs w:val="24"/>
              </w:rPr>
            </w:pPr>
            <w:r>
              <w:rPr>
                <w:rFonts w:eastAsia="仿宋_GB2312"/>
                <w:kern w:val="0"/>
                <w:sz w:val="24"/>
                <w:szCs w:val="24"/>
              </w:rPr>
              <w:t>19451</w:t>
            </w:r>
          </w:p>
        </w:tc>
        <w:tc>
          <w:tcPr>
            <w:tcW w:w="1676" w:type="dxa"/>
            <w:vAlign w:val="center"/>
          </w:tcPr>
          <w:p>
            <w:pPr>
              <w:widowControl/>
              <w:jc w:val="center"/>
              <w:rPr>
                <w:rFonts w:eastAsia="仿宋_GB2312"/>
                <w:kern w:val="0"/>
                <w:sz w:val="24"/>
                <w:szCs w:val="24"/>
              </w:rPr>
            </w:pPr>
            <w:r>
              <w:rPr>
                <w:rFonts w:eastAsia="仿宋_GB2312"/>
                <w:kern w:val="0"/>
                <w:sz w:val="24"/>
                <w:szCs w:val="24"/>
              </w:rPr>
              <w:t>4268</w:t>
            </w:r>
          </w:p>
        </w:tc>
        <w:tc>
          <w:tcPr>
            <w:tcW w:w="1648" w:type="dxa"/>
            <w:vAlign w:val="center"/>
          </w:tcPr>
          <w:p>
            <w:pPr>
              <w:widowControl/>
              <w:jc w:val="center"/>
              <w:rPr>
                <w:rFonts w:eastAsia="仿宋_GB2312"/>
                <w:kern w:val="0"/>
                <w:sz w:val="24"/>
                <w:szCs w:val="24"/>
              </w:rPr>
            </w:pPr>
            <w:r>
              <w:rPr>
                <w:rFonts w:eastAsia="仿宋_GB2312"/>
                <w:kern w:val="0"/>
                <w:sz w:val="24"/>
                <w:szCs w:val="24"/>
              </w:rPr>
              <w:t>7454.86</w:t>
            </w:r>
          </w:p>
        </w:tc>
        <w:tc>
          <w:tcPr>
            <w:tcW w:w="1251" w:type="dxa"/>
            <w:vAlign w:val="center"/>
          </w:tcPr>
          <w:p>
            <w:pPr>
              <w:widowControl/>
              <w:jc w:val="center"/>
              <w:rPr>
                <w:rFonts w:eastAsia="仿宋_GB2312"/>
                <w:kern w:val="0"/>
                <w:sz w:val="24"/>
                <w:szCs w:val="24"/>
              </w:rPr>
            </w:pPr>
            <w:r>
              <w:rPr>
                <w:rFonts w:eastAsia="仿宋_GB2312"/>
                <w:kern w:val="0"/>
                <w:sz w:val="24"/>
                <w:szCs w:val="24"/>
              </w:rPr>
              <w:t>55701.97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图书馆</w:t>
            </w:r>
          </w:p>
        </w:tc>
        <w:tc>
          <w:tcPr>
            <w:tcW w:w="1296" w:type="dxa"/>
            <w:vAlign w:val="center"/>
          </w:tcPr>
          <w:p>
            <w:pPr>
              <w:widowControl/>
              <w:jc w:val="center"/>
              <w:rPr>
                <w:rFonts w:eastAsia="仿宋_GB2312"/>
                <w:kern w:val="0"/>
                <w:sz w:val="24"/>
                <w:szCs w:val="24"/>
              </w:rPr>
            </w:pPr>
            <w:r>
              <w:rPr>
                <w:rFonts w:eastAsia="仿宋_GB2312"/>
                <w:kern w:val="0"/>
                <w:sz w:val="24"/>
                <w:szCs w:val="24"/>
              </w:rPr>
              <w:t>16053</w:t>
            </w:r>
          </w:p>
        </w:tc>
        <w:tc>
          <w:tcPr>
            <w:tcW w:w="1676" w:type="dxa"/>
            <w:vAlign w:val="center"/>
          </w:tcPr>
          <w:p>
            <w:pPr>
              <w:widowControl/>
              <w:jc w:val="center"/>
              <w:rPr>
                <w:rFonts w:eastAsia="仿宋_GB2312"/>
                <w:kern w:val="0"/>
                <w:sz w:val="24"/>
                <w:szCs w:val="24"/>
              </w:rPr>
            </w:pPr>
            <w:r>
              <w:rPr>
                <w:rFonts w:eastAsia="仿宋_GB2312"/>
                <w:kern w:val="0"/>
                <w:sz w:val="24"/>
                <w:szCs w:val="24"/>
              </w:rPr>
              <w:t>2340</w:t>
            </w:r>
          </w:p>
        </w:tc>
        <w:tc>
          <w:tcPr>
            <w:tcW w:w="1676" w:type="dxa"/>
            <w:vAlign w:val="center"/>
          </w:tcPr>
          <w:p>
            <w:pPr>
              <w:widowControl/>
              <w:jc w:val="center"/>
              <w:rPr>
                <w:rFonts w:eastAsia="仿宋_GB2312"/>
                <w:kern w:val="0"/>
                <w:sz w:val="24"/>
                <w:szCs w:val="24"/>
              </w:rPr>
            </w:pPr>
            <w:r>
              <w:rPr>
                <w:rFonts w:eastAsia="仿宋_GB2312"/>
                <w:kern w:val="0"/>
                <w:sz w:val="24"/>
                <w:szCs w:val="24"/>
              </w:rPr>
              <w:t>600</w:t>
            </w:r>
          </w:p>
        </w:tc>
        <w:tc>
          <w:tcPr>
            <w:tcW w:w="1648" w:type="dxa"/>
            <w:vAlign w:val="center"/>
          </w:tcPr>
          <w:p>
            <w:pPr>
              <w:widowControl/>
              <w:jc w:val="center"/>
              <w:rPr>
                <w:rFonts w:eastAsia="仿宋_GB2312"/>
                <w:kern w:val="0"/>
                <w:sz w:val="24"/>
                <w:szCs w:val="24"/>
              </w:rPr>
            </w:pPr>
            <w:r>
              <w:rPr>
                <w:rFonts w:eastAsia="仿宋_GB2312"/>
                <w:kern w:val="0"/>
                <w:sz w:val="24"/>
                <w:szCs w:val="24"/>
              </w:rPr>
              <w:t>472.62</w:t>
            </w:r>
          </w:p>
        </w:tc>
        <w:tc>
          <w:tcPr>
            <w:tcW w:w="1251" w:type="dxa"/>
            <w:vAlign w:val="center"/>
          </w:tcPr>
          <w:p>
            <w:pPr>
              <w:widowControl/>
              <w:jc w:val="center"/>
              <w:rPr>
                <w:rFonts w:eastAsia="仿宋_GB2312"/>
                <w:kern w:val="0"/>
                <w:sz w:val="24"/>
                <w:szCs w:val="24"/>
              </w:rPr>
            </w:pPr>
            <w:r>
              <w:rPr>
                <w:rFonts w:eastAsia="仿宋_GB2312"/>
                <w:kern w:val="0"/>
                <w:sz w:val="24"/>
                <w:szCs w:val="24"/>
              </w:rPr>
              <w:t>19465.62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实训场所</w:t>
            </w:r>
          </w:p>
        </w:tc>
        <w:tc>
          <w:tcPr>
            <w:tcW w:w="1296" w:type="dxa"/>
            <w:vAlign w:val="center"/>
          </w:tcPr>
          <w:p>
            <w:pPr>
              <w:widowControl/>
              <w:jc w:val="center"/>
              <w:rPr>
                <w:rFonts w:eastAsia="仿宋_GB2312"/>
                <w:kern w:val="0"/>
                <w:sz w:val="24"/>
                <w:szCs w:val="24"/>
              </w:rPr>
            </w:pPr>
            <w:r>
              <w:rPr>
                <w:rFonts w:eastAsia="仿宋_GB2312"/>
                <w:kern w:val="0"/>
                <w:sz w:val="24"/>
                <w:szCs w:val="24"/>
              </w:rPr>
              <w:t>18686.62</w:t>
            </w:r>
          </w:p>
        </w:tc>
        <w:tc>
          <w:tcPr>
            <w:tcW w:w="1676" w:type="dxa"/>
            <w:vAlign w:val="center"/>
          </w:tcPr>
          <w:p>
            <w:pPr>
              <w:widowControl/>
              <w:jc w:val="center"/>
              <w:rPr>
                <w:rFonts w:eastAsia="仿宋_GB2312"/>
                <w:kern w:val="0"/>
                <w:sz w:val="24"/>
                <w:szCs w:val="24"/>
              </w:rPr>
            </w:pPr>
            <w:r>
              <w:rPr>
                <w:rFonts w:eastAsia="仿宋_GB2312"/>
                <w:kern w:val="0"/>
                <w:sz w:val="24"/>
                <w:szCs w:val="24"/>
              </w:rPr>
              <w:t>3396</w:t>
            </w:r>
          </w:p>
        </w:tc>
        <w:tc>
          <w:tcPr>
            <w:tcW w:w="1676" w:type="dxa"/>
            <w:vAlign w:val="center"/>
          </w:tcPr>
          <w:p>
            <w:pPr>
              <w:widowControl/>
              <w:jc w:val="center"/>
              <w:rPr>
                <w:rFonts w:eastAsia="仿宋_GB2312"/>
                <w:kern w:val="0"/>
                <w:sz w:val="24"/>
                <w:szCs w:val="24"/>
              </w:rPr>
            </w:pPr>
            <w:r>
              <w:rPr>
                <w:rFonts w:eastAsia="仿宋_GB2312"/>
                <w:kern w:val="0"/>
                <w:sz w:val="24"/>
                <w:szCs w:val="24"/>
              </w:rPr>
              <w:t>1308</w:t>
            </w:r>
          </w:p>
        </w:tc>
        <w:tc>
          <w:tcPr>
            <w:tcW w:w="1648" w:type="dxa"/>
            <w:vAlign w:val="center"/>
          </w:tcPr>
          <w:p>
            <w:pPr>
              <w:widowControl/>
              <w:jc w:val="center"/>
              <w:rPr>
                <w:rFonts w:eastAsia="仿宋_GB2312"/>
                <w:kern w:val="0"/>
                <w:sz w:val="24"/>
                <w:szCs w:val="24"/>
              </w:rPr>
            </w:pPr>
            <w:r>
              <w:rPr>
                <w:rFonts w:eastAsia="仿宋_GB2312"/>
                <w:kern w:val="0"/>
                <w:sz w:val="24"/>
                <w:szCs w:val="24"/>
              </w:rPr>
              <w:t>4219.97</w:t>
            </w:r>
          </w:p>
        </w:tc>
        <w:tc>
          <w:tcPr>
            <w:tcW w:w="1251" w:type="dxa"/>
            <w:vAlign w:val="center"/>
          </w:tcPr>
          <w:p>
            <w:pPr>
              <w:widowControl/>
              <w:jc w:val="center"/>
              <w:rPr>
                <w:rFonts w:eastAsia="仿宋_GB2312"/>
                <w:kern w:val="0"/>
                <w:sz w:val="24"/>
                <w:szCs w:val="24"/>
              </w:rPr>
            </w:pPr>
            <w:r>
              <w:rPr>
                <w:rFonts w:eastAsia="仿宋_GB2312"/>
                <w:kern w:val="0"/>
                <w:sz w:val="24"/>
                <w:szCs w:val="24"/>
              </w:rPr>
              <w:t>27610.59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室内馆</w:t>
            </w:r>
          </w:p>
        </w:tc>
        <w:tc>
          <w:tcPr>
            <w:tcW w:w="1296" w:type="dxa"/>
            <w:vAlign w:val="center"/>
          </w:tcPr>
          <w:p>
            <w:pPr>
              <w:widowControl/>
              <w:jc w:val="center"/>
              <w:rPr>
                <w:rFonts w:eastAsia="仿宋_GB2312"/>
                <w:kern w:val="0"/>
                <w:sz w:val="24"/>
                <w:szCs w:val="24"/>
              </w:rPr>
            </w:pPr>
            <w:r>
              <w:rPr>
                <w:rFonts w:eastAsia="仿宋_GB2312"/>
                <w:kern w:val="0"/>
                <w:sz w:val="24"/>
                <w:szCs w:val="24"/>
              </w:rPr>
              <w:t>1995.07</w:t>
            </w:r>
          </w:p>
        </w:tc>
        <w:tc>
          <w:tcPr>
            <w:tcW w:w="1676" w:type="dxa"/>
            <w:vAlign w:val="center"/>
          </w:tcPr>
          <w:p>
            <w:pPr>
              <w:widowControl/>
              <w:jc w:val="center"/>
              <w:rPr>
                <w:rFonts w:eastAsia="仿宋_GB2312"/>
                <w:kern w:val="0"/>
                <w:sz w:val="24"/>
                <w:szCs w:val="24"/>
              </w:rPr>
            </w:pPr>
            <w:r>
              <w:rPr>
                <w:rFonts w:eastAsia="仿宋_GB2312"/>
                <w:kern w:val="0"/>
                <w:sz w:val="24"/>
                <w:szCs w:val="24"/>
              </w:rPr>
              <w:t>1539.3</w:t>
            </w:r>
          </w:p>
        </w:tc>
        <w:tc>
          <w:tcPr>
            <w:tcW w:w="1676" w:type="dxa"/>
            <w:vAlign w:val="center"/>
          </w:tcPr>
          <w:p>
            <w:pPr>
              <w:widowControl/>
              <w:jc w:val="center"/>
              <w:rPr>
                <w:rFonts w:eastAsia="仿宋_GB2312"/>
                <w:kern w:val="0"/>
                <w:sz w:val="24"/>
                <w:szCs w:val="24"/>
              </w:rPr>
            </w:pPr>
          </w:p>
        </w:tc>
        <w:tc>
          <w:tcPr>
            <w:tcW w:w="1648" w:type="dxa"/>
            <w:vAlign w:val="center"/>
          </w:tcPr>
          <w:p>
            <w:pPr>
              <w:widowControl/>
              <w:jc w:val="center"/>
              <w:rPr>
                <w:rFonts w:eastAsia="仿宋_GB2312"/>
                <w:kern w:val="0"/>
                <w:sz w:val="24"/>
                <w:szCs w:val="24"/>
              </w:rPr>
            </w:pPr>
          </w:p>
        </w:tc>
        <w:tc>
          <w:tcPr>
            <w:tcW w:w="1251" w:type="dxa"/>
            <w:vAlign w:val="center"/>
          </w:tcPr>
          <w:p>
            <w:pPr>
              <w:widowControl/>
              <w:jc w:val="center"/>
              <w:rPr>
                <w:rFonts w:eastAsia="仿宋_GB2312"/>
                <w:kern w:val="0"/>
                <w:sz w:val="24"/>
                <w:szCs w:val="24"/>
              </w:rPr>
            </w:pPr>
            <w:r>
              <w:rPr>
                <w:rFonts w:eastAsia="仿宋_GB2312"/>
                <w:kern w:val="0"/>
                <w:sz w:val="24"/>
                <w:szCs w:val="24"/>
              </w:rPr>
              <w:t>3534.37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会堂</w:t>
            </w:r>
          </w:p>
        </w:tc>
        <w:tc>
          <w:tcPr>
            <w:tcW w:w="1296" w:type="dxa"/>
            <w:vAlign w:val="center"/>
          </w:tcPr>
          <w:p>
            <w:pPr>
              <w:widowControl/>
              <w:jc w:val="center"/>
              <w:rPr>
                <w:rFonts w:eastAsia="仿宋_GB2312"/>
                <w:kern w:val="0"/>
                <w:sz w:val="24"/>
                <w:szCs w:val="24"/>
              </w:rPr>
            </w:pPr>
            <w:r>
              <w:rPr>
                <w:rFonts w:eastAsia="仿宋_GB2312"/>
                <w:kern w:val="0"/>
                <w:sz w:val="24"/>
                <w:szCs w:val="24"/>
              </w:rPr>
              <w:t>3624</w:t>
            </w:r>
          </w:p>
        </w:tc>
        <w:tc>
          <w:tcPr>
            <w:tcW w:w="1676" w:type="dxa"/>
            <w:vAlign w:val="center"/>
          </w:tcPr>
          <w:p>
            <w:pPr>
              <w:widowControl/>
              <w:jc w:val="center"/>
              <w:rPr>
                <w:rFonts w:eastAsia="仿宋_GB2312"/>
                <w:kern w:val="0"/>
                <w:sz w:val="24"/>
                <w:szCs w:val="24"/>
              </w:rPr>
            </w:pPr>
          </w:p>
        </w:tc>
        <w:tc>
          <w:tcPr>
            <w:tcW w:w="1676" w:type="dxa"/>
            <w:vAlign w:val="center"/>
          </w:tcPr>
          <w:p>
            <w:pPr>
              <w:widowControl/>
              <w:jc w:val="center"/>
              <w:rPr>
                <w:rFonts w:eastAsia="仿宋_GB2312"/>
                <w:kern w:val="0"/>
                <w:sz w:val="24"/>
                <w:szCs w:val="24"/>
              </w:rPr>
            </w:pPr>
            <w:r>
              <w:rPr>
                <w:rFonts w:eastAsia="仿宋_GB2312"/>
                <w:kern w:val="0"/>
                <w:sz w:val="24"/>
                <w:szCs w:val="24"/>
              </w:rPr>
              <w:t>745</w:t>
            </w:r>
          </w:p>
        </w:tc>
        <w:tc>
          <w:tcPr>
            <w:tcW w:w="1648" w:type="dxa"/>
            <w:vAlign w:val="center"/>
          </w:tcPr>
          <w:p>
            <w:pPr>
              <w:widowControl/>
              <w:jc w:val="center"/>
              <w:rPr>
                <w:rFonts w:eastAsia="仿宋_GB2312"/>
                <w:kern w:val="0"/>
                <w:sz w:val="24"/>
                <w:szCs w:val="24"/>
              </w:rPr>
            </w:pPr>
          </w:p>
        </w:tc>
        <w:tc>
          <w:tcPr>
            <w:tcW w:w="1251" w:type="dxa"/>
            <w:vAlign w:val="center"/>
          </w:tcPr>
          <w:p>
            <w:pPr>
              <w:widowControl/>
              <w:jc w:val="center"/>
              <w:rPr>
                <w:rFonts w:eastAsia="仿宋_GB2312"/>
                <w:kern w:val="0"/>
                <w:sz w:val="24"/>
                <w:szCs w:val="24"/>
              </w:rPr>
            </w:pPr>
            <w:r>
              <w:rPr>
                <w:rFonts w:eastAsia="仿宋_GB2312"/>
                <w:kern w:val="0"/>
                <w:sz w:val="24"/>
                <w:szCs w:val="24"/>
              </w:rPr>
              <w:t>4369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restart"/>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生活</w:t>
            </w:r>
          </w:p>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用房</w:t>
            </w: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教工食堂</w:t>
            </w:r>
          </w:p>
        </w:tc>
        <w:tc>
          <w:tcPr>
            <w:tcW w:w="1296" w:type="dxa"/>
            <w:vAlign w:val="center"/>
          </w:tcPr>
          <w:p>
            <w:pPr>
              <w:widowControl/>
              <w:jc w:val="center"/>
              <w:rPr>
                <w:rFonts w:eastAsia="仿宋_GB2312"/>
                <w:kern w:val="0"/>
                <w:sz w:val="24"/>
                <w:szCs w:val="24"/>
              </w:rPr>
            </w:pPr>
            <w:r>
              <w:rPr>
                <w:rFonts w:eastAsia="仿宋_GB2312"/>
                <w:kern w:val="0"/>
                <w:sz w:val="24"/>
                <w:szCs w:val="24"/>
              </w:rPr>
              <w:t>500</w:t>
            </w:r>
          </w:p>
        </w:tc>
        <w:tc>
          <w:tcPr>
            <w:tcW w:w="1676" w:type="dxa"/>
            <w:vAlign w:val="center"/>
          </w:tcPr>
          <w:p>
            <w:pPr>
              <w:widowControl/>
              <w:jc w:val="center"/>
              <w:rPr>
                <w:rFonts w:eastAsia="仿宋_GB2312"/>
                <w:kern w:val="0"/>
                <w:sz w:val="24"/>
                <w:szCs w:val="24"/>
              </w:rPr>
            </w:pPr>
            <w:r>
              <w:rPr>
                <w:rFonts w:eastAsia="仿宋_GB2312"/>
                <w:kern w:val="0"/>
                <w:sz w:val="24"/>
                <w:szCs w:val="24"/>
              </w:rPr>
              <w:t>420</w:t>
            </w:r>
          </w:p>
        </w:tc>
        <w:tc>
          <w:tcPr>
            <w:tcW w:w="1676" w:type="dxa"/>
            <w:vAlign w:val="center"/>
          </w:tcPr>
          <w:p>
            <w:pPr>
              <w:widowControl/>
              <w:jc w:val="center"/>
              <w:rPr>
                <w:rFonts w:eastAsia="仿宋_GB2312"/>
                <w:kern w:val="0"/>
                <w:sz w:val="24"/>
                <w:szCs w:val="24"/>
              </w:rPr>
            </w:pPr>
          </w:p>
        </w:tc>
        <w:tc>
          <w:tcPr>
            <w:tcW w:w="1648" w:type="dxa"/>
            <w:vAlign w:val="center"/>
          </w:tcPr>
          <w:p>
            <w:pPr>
              <w:widowControl/>
              <w:jc w:val="center"/>
              <w:rPr>
                <w:rFonts w:eastAsia="仿宋_GB2312"/>
                <w:kern w:val="0"/>
                <w:sz w:val="24"/>
                <w:szCs w:val="24"/>
              </w:rPr>
            </w:pPr>
          </w:p>
        </w:tc>
        <w:tc>
          <w:tcPr>
            <w:tcW w:w="1251" w:type="dxa"/>
            <w:vAlign w:val="center"/>
          </w:tcPr>
          <w:p>
            <w:pPr>
              <w:widowControl/>
              <w:jc w:val="center"/>
              <w:rPr>
                <w:rFonts w:eastAsia="仿宋_GB2312"/>
                <w:kern w:val="0"/>
                <w:sz w:val="24"/>
                <w:szCs w:val="24"/>
              </w:rPr>
            </w:pPr>
            <w:r>
              <w:rPr>
                <w:rFonts w:eastAsia="仿宋_GB2312"/>
                <w:kern w:val="0"/>
                <w:sz w:val="24"/>
                <w:szCs w:val="24"/>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附属用房</w:t>
            </w:r>
          </w:p>
        </w:tc>
        <w:tc>
          <w:tcPr>
            <w:tcW w:w="1296" w:type="dxa"/>
            <w:vAlign w:val="center"/>
          </w:tcPr>
          <w:p>
            <w:pPr>
              <w:widowControl/>
              <w:jc w:val="center"/>
              <w:rPr>
                <w:rFonts w:eastAsia="仿宋_GB2312"/>
                <w:kern w:val="0"/>
                <w:sz w:val="24"/>
                <w:szCs w:val="24"/>
              </w:rPr>
            </w:pPr>
            <w:r>
              <w:rPr>
                <w:rFonts w:eastAsia="仿宋_GB2312"/>
                <w:kern w:val="0"/>
                <w:sz w:val="24"/>
                <w:szCs w:val="24"/>
              </w:rPr>
              <w:t>2735.86</w:t>
            </w:r>
          </w:p>
        </w:tc>
        <w:tc>
          <w:tcPr>
            <w:tcW w:w="1676" w:type="dxa"/>
            <w:vAlign w:val="center"/>
          </w:tcPr>
          <w:p>
            <w:pPr>
              <w:widowControl/>
              <w:jc w:val="center"/>
              <w:rPr>
                <w:rFonts w:eastAsia="仿宋_GB2312"/>
                <w:kern w:val="0"/>
                <w:sz w:val="24"/>
                <w:szCs w:val="24"/>
              </w:rPr>
            </w:pPr>
            <w:r>
              <w:rPr>
                <w:rFonts w:eastAsia="仿宋_GB2312"/>
                <w:kern w:val="0"/>
                <w:sz w:val="24"/>
                <w:szCs w:val="24"/>
              </w:rPr>
              <w:t>2822.65</w:t>
            </w:r>
          </w:p>
        </w:tc>
        <w:tc>
          <w:tcPr>
            <w:tcW w:w="1676" w:type="dxa"/>
            <w:vAlign w:val="center"/>
          </w:tcPr>
          <w:p>
            <w:pPr>
              <w:widowControl/>
              <w:jc w:val="center"/>
              <w:rPr>
                <w:rFonts w:eastAsia="仿宋_GB2312"/>
                <w:kern w:val="0"/>
                <w:sz w:val="24"/>
                <w:szCs w:val="24"/>
              </w:rPr>
            </w:pPr>
            <w:r>
              <w:rPr>
                <w:rFonts w:eastAsia="仿宋_GB2312"/>
                <w:kern w:val="0"/>
                <w:sz w:val="24"/>
                <w:szCs w:val="24"/>
              </w:rPr>
              <w:t>134.94</w:t>
            </w:r>
          </w:p>
        </w:tc>
        <w:tc>
          <w:tcPr>
            <w:tcW w:w="1648" w:type="dxa"/>
            <w:vAlign w:val="center"/>
          </w:tcPr>
          <w:p>
            <w:pPr>
              <w:widowControl/>
              <w:jc w:val="center"/>
              <w:rPr>
                <w:rFonts w:eastAsia="仿宋_GB2312"/>
                <w:kern w:val="0"/>
                <w:sz w:val="24"/>
                <w:szCs w:val="24"/>
              </w:rPr>
            </w:pPr>
            <w:r>
              <w:rPr>
                <w:rFonts w:eastAsia="仿宋_GB2312"/>
                <w:kern w:val="0"/>
                <w:sz w:val="24"/>
                <w:szCs w:val="24"/>
              </w:rPr>
              <w:t>346</w:t>
            </w:r>
          </w:p>
        </w:tc>
        <w:tc>
          <w:tcPr>
            <w:tcW w:w="1251" w:type="dxa"/>
            <w:vAlign w:val="center"/>
          </w:tcPr>
          <w:p>
            <w:pPr>
              <w:widowControl/>
              <w:jc w:val="center"/>
              <w:rPr>
                <w:rFonts w:eastAsia="仿宋_GB2312"/>
                <w:kern w:val="0"/>
                <w:sz w:val="24"/>
                <w:szCs w:val="24"/>
              </w:rPr>
            </w:pPr>
            <w:r>
              <w:rPr>
                <w:rFonts w:eastAsia="仿宋_GB2312"/>
                <w:kern w:val="0"/>
                <w:sz w:val="24"/>
                <w:szCs w:val="24"/>
              </w:rPr>
              <w:t>6039.45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学生宿舍</w:t>
            </w:r>
          </w:p>
        </w:tc>
        <w:tc>
          <w:tcPr>
            <w:tcW w:w="1296" w:type="dxa"/>
            <w:vAlign w:val="center"/>
          </w:tcPr>
          <w:p>
            <w:pPr>
              <w:widowControl/>
              <w:jc w:val="center"/>
              <w:rPr>
                <w:rFonts w:eastAsia="仿宋_GB2312"/>
                <w:kern w:val="0"/>
                <w:sz w:val="24"/>
                <w:szCs w:val="24"/>
              </w:rPr>
            </w:pPr>
            <w:r>
              <w:rPr>
                <w:rFonts w:eastAsia="仿宋_GB2312"/>
                <w:kern w:val="0"/>
                <w:sz w:val="24"/>
                <w:szCs w:val="24"/>
              </w:rPr>
              <w:t>47929.19</w:t>
            </w:r>
          </w:p>
        </w:tc>
        <w:tc>
          <w:tcPr>
            <w:tcW w:w="1676" w:type="dxa"/>
            <w:vAlign w:val="center"/>
          </w:tcPr>
          <w:p>
            <w:pPr>
              <w:widowControl/>
              <w:jc w:val="center"/>
              <w:rPr>
                <w:rFonts w:eastAsia="仿宋_GB2312"/>
                <w:kern w:val="0"/>
                <w:sz w:val="24"/>
                <w:szCs w:val="24"/>
              </w:rPr>
            </w:pPr>
            <w:r>
              <w:rPr>
                <w:rFonts w:eastAsia="仿宋_GB2312"/>
                <w:kern w:val="0"/>
                <w:sz w:val="24"/>
                <w:szCs w:val="24"/>
              </w:rPr>
              <w:t>11983</w:t>
            </w:r>
          </w:p>
        </w:tc>
        <w:tc>
          <w:tcPr>
            <w:tcW w:w="1676" w:type="dxa"/>
            <w:vAlign w:val="center"/>
          </w:tcPr>
          <w:p>
            <w:pPr>
              <w:widowControl/>
              <w:jc w:val="center"/>
              <w:rPr>
                <w:rFonts w:eastAsia="仿宋_GB2312"/>
                <w:kern w:val="0"/>
                <w:sz w:val="24"/>
                <w:szCs w:val="24"/>
              </w:rPr>
            </w:pPr>
            <w:r>
              <w:rPr>
                <w:rFonts w:eastAsia="仿宋_GB2312"/>
                <w:kern w:val="0"/>
                <w:sz w:val="24"/>
                <w:szCs w:val="24"/>
              </w:rPr>
              <w:t>6617.41</w:t>
            </w:r>
          </w:p>
        </w:tc>
        <w:tc>
          <w:tcPr>
            <w:tcW w:w="1648" w:type="dxa"/>
            <w:vAlign w:val="center"/>
          </w:tcPr>
          <w:p>
            <w:pPr>
              <w:widowControl/>
              <w:jc w:val="center"/>
              <w:rPr>
                <w:rFonts w:eastAsia="仿宋_GB2312"/>
                <w:kern w:val="0"/>
                <w:sz w:val="24"/>
                <w:szCs w:val="24"/>
              </w:rPr>
            </w:pPr>
            <w:r>
              <w:rPr>
                <w:rFonts w:eastAsia="仿宋_GB2312"/>
                <w:kern w:val="0"/>
                <w:sz w:val="24"/>
                <w:szCs w:val="24"/>
              </w:rPr>
              <w:t>5148.4</w:t>
            </w:r>
          </w:p>
        </w:tc>
        <w:tc>
          <w:tcPr>
            <w:tcW w:w="1251" w:type="dxa"/>
            <w:vAlign w:val="center"/>
          </w:tcPr>
          <w:p>
            <w:pPr>
              <w:widowControl/>
              <w:jc w:val="center"/>
              <w:rPr>
                <w:rFonts w:eastAsia="仿宋_GB2312"/>
                <w:kern w:val="0"/>
                <w:sz w:val="24"/>
                <w:szCs w:val="24"/>
              </w:rPr>
            </w:pPr>
            <w:r>
              <w:rPr>
                <w:rFonts w:eastAsia="仿宋_GB2312"/>
                <w:kern w:val="0"/>
                <w:sz w:val="24"/>
                <w:szCs w:val="24"/>
              </w:rPr>
              <w:t>71678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学生食堂</w:t>
            </w:r>
          </w:p>
        </w:tc>
        <w:tc>
          <w:tcPr>
            <w:tcW w:w="1296" w:type="dxa"/>
            <w:vAlign w:val="center"/>
          </w:tcPr>
          <w:p>
            <w:pPr>
              <w:widowControl/>
              <w:jc w:val="center"/>
              <w:rPr>
                <w:rFonts w:eastAsia="仿宋_GB2312"/>
                <w:kern w:val="0"/>
                <w:sz w:val="24"/>
                <w:szCs w:val="24"/>
              </w:rPr>
            </w:pPr>
            <w:r>
              <w:rPr>
                <w:rFonts w:eastAsia="仿宋_GB2312"/>
                <w:kern w:val="0"/>
                <w:sz w:val="24"/>
                <w:szCs w:val="24"/>
              </w:rPr>
              <w:t>8008.23</w:t>
            </w:r>
          </w:p>
        </w:tc>
        <w:tc>
          <w:tcPr>
            <w:tcW w:w="1676" w:type="dxa"/>
            <w:vAlign w:val="center"/>
          </w:tcPr>
          <w:p>
            <w:pPr>
              <w:widowControl/>
              <w:jc w:val="center"/>
              <w:rPr>
                <w:rFonts w:eastAsia="仿宋_GB2312"/>
                <w:kern w:val="0"/>
                <w:sz w:val="24"/>
                <w:szCs w:val="24"/>
              </w:rPr>
            </w:pPr>
            <w:r>
              <w:rPr>
                <w:rFonts w:eastAsia="仿宋_GB2312"/>
                <w:kern w:val="0"/>
                <w:sz w:val="24"/>
                <w:szCs w:val="24"/>
              </w:rPr>
              <w:t>1465</w:t>
            </w:r>
          </w:p>
        </w:tc>
        <w:tc>
          <w:tcPr>
            <w:tcW w:w="1676" w:type="dxa"/>
            <w:vAlign w:val="center"/>
          </w:tcPr>
          <w:p>
            <w:pPr>
              <w:widowControl/>
              <w:jc w:val="center"/>
              <w:rPr>
                <w:rFonts w:eastAsia="仿宋_GB2312"/>
                <w:kern w:val="0"/>
                <w:sz w:val="24"/>
                <w:szCs w:val="24"/>
              </w:rPr>
            </w:pPr>
            <w:r>
              <w:rPr>
                <w:rFonts w:eastAsia="仿宋_GB2312"/>
                <w:kern w:val="0"/>
                <w:sz w:val="24"/>
                <w:szCs w:val="24"/>
              </w:rPr>
              <w:t>1207.4</w:t>
            </w:r>
          </w:p>
        </w:tc>
        <w:tc>
          <w:tcPr>
            <w:tcW w:w="1648" w:type="dxa"/>
            <w:vAlign w:val="center"/>
          </w:tcPr>
          <w:p>
            <w:pPr>
              <w:widowControl/>
              <w:jc w:val="center"/>
              <w:rPr>
                <w:rFonts w:eastAsia="仿宋_GB2312"/>
                <w:kern w:val="0"/>
                <w:sz w:val="24"/>
                <w:szCs w:val="24"/>
              </w:rPr>
            </w:pPr>
            <w:r>
              <w:rPr>
                <w:rFonts w:eastAsia="仿宋_GB2312"/>
                <w:kern w:val="0"/>
                <w:sz w:val="24"/>
                <w:szCs w:val="24"/>
              </w:rPr>
              <w:t>731.18</w:t>
            </w:r>
          </w:p>
        </w:tc>
        <w:tc>
          <w:tcPr>
            <w:tcW w:w="1251" w:type="dxa"/>
            <w:vAlign w:val="center"/>
          </w:tcPr>
          <w:p>
            <w:pPr>
              <w:widowControl/>
              <w:jc w:val="center"/>
              <w:rPr>
                <w:rFonts w:eastAsia="仿宋_GB2312"/>
                <w:kern w:val="0"/>
                <w:sz w:val="24"/>
                <w:szCs w:val="24"/>
              </w:rPr>
            </w:pPr>
            <w:r>
              <w:rPr>
                <w:rFonts w:eastAsia="仿宋_GB2312"/>
                <w:kern w:val="0"/>
                <w:sz w:val="24"/>
                <w:szCs w:val="24"/>
              </w:rPr>
              <w:t>11411.81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Merge w:val="continue"/>
            <w:vAlign w:val="center"/>
          </w:tcPr>
          <w:p>
            <w:pPr>
              <w:widowControl/>
              <w:jc w:val="center"/>
              <w:rPr>
                <w:rFonts w:hint="eastAsia" w:ascii="仿宋_GB2312" w:hAnsi="宋体" w:eastAsia="仿宋_GB2312" w:cs="宋体"/>
                <w:kern w:val="0"/>
                <w:sz w:val="32"/>
                <w:szCs w:val="32"/>
              </w:rPr>
            </w:pP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教工宿舍</w:t>
            </w:r>
          </w:p>
        </w:tc>
        <w:tc>
          <w:tcPr>
            <w:tcW w:w="1296" w:type="dxa"/>
            <w:vAlign w:val="center"/>
          </w:tcPr>
          <w:p>
            <w:pPr>
              <w:widowControl/>
              <w:jc w:val="center"/>
              <w:rPr>
                <w:rFonts w:eastAsia="仿宋_GB2312"/>
                <w:kern w:val="0"/>
                <w:sz w:val="24"/>
                <w:szCs w:val="24"/>
              </w:rPr>
            </w:pPr>
            <w:r>
              <w:rPr>
                <w:rFonts w:eastAsia="仿宋_GB2312"/>
                <w:kern w:val="0"/>
                <w:sz w:val="24"/>
                <w:szCs w:val="24"/>
              </w:rPr>
              <w:t>3362.3</w:t>
            </w:r>
          </w:p>
        </w:tc>
        <w:tc>
          <w:tcPr>
            <w:tcW w:w="1676" w:type="dxa"/>
            <w:vAlign w:val="center"/>
          </w:tcPr>
          <w:p>
            <w:pPr>
              <w:widowControl/>
              <w:jc w:val="center"/>
              <w:rPr>
                <w:rFonts w:eastAsia="仿宋_GB2312"/>
                <w:kern w:val="0"/>
                <w:sz w:val="24"/>
                <w:szCs w:val="24"/>
              </w:rPr>
            </w:pPr>
          </w:p>
        </w:tc>
        <w:tc>
          <w:tcPr>
            <w:tcW w:w="1676" w:type="dxa"/>
            <w:vAlign w:val="center"/>
          </w:tcPr>
          <w:p>
            <w:pPr>
              <w:widowControl/>
              <w:jc w:val="center"/>
              <w:rPr>
                <w:rFonts w:eastAsia="仿宋_GB2312"/>
                <w:kern w:val="0"/>
                <w:sz w:val="24"/>
                <w:szCs w:val="24"/>
              </w:rPr>
            </w:pPr>
            <w:r>
              <w:rPr>
                <w:rFonts w:eastAsia="仿宋_GB2312"/>
                <w:kern w:val="0"/>
                <w:sz w:val="24"/>
                <w:szCs w:val="24"/>
              </w:rPr>
              <w:t>126</w:t>
            </w:r>
          </w:p>
        </w:tc>
        <w:tc>
          <w:tcPr>
            <w:tcW w:w="1648" w:type="dxa"/>
            <w:vAlign w:val="center"/>
          </w:tcPr>
          <w:p>
            <w:pPr>
              <w:widowControl/>
              <w:jc w:val="center"/>
              <w:rPr>
                <w:rFonts w:eastAsia="仿宋_GB2312"/>
                <w:kern w:val="0"/>
                <w:sz w:val="24"/>
                <w:szCs w:val="24"/>
              </w:rPr>
            </w:pPr>
          </w:p>
        </w:tc>
        <w:tc>
          <w:tcPr>
            <w:tcW w:w="1251" w:type="dxa"/>
            <w:vAlign w:val="center"/>
          </w:tcPr>
          <w:p>
            <w:pPr>
              <w:widowControl/>
              <w:jc w:val="center"/>
              <w:rPr>
                <w:rFonts w:eastAsia="仿宋_GB2312"/>
                <w:kern w:val="0"/>
                <w:sz w:val="24"/>
                <w:szCs w:val="24"/>
              </w:rPr>
            </w:pPr>
            <w:r>
              <w:rPr>
                <w:rFonts w:eastAsia="仿宋_GB2312"/>
                <w:kern w:val="0"/>
                <w:sz w:val="24"/>
                <w:szCs w:val="24"/>
              </w:rPr>
              <w:t>3488.3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222" w:type="dxa"/>
            <w:vAlign w:val="center"/>
          </w:tcPr>
          <w:p>
            <w:pPr>
              <w:widowControl/>
              <w:jc w:val="center"/>
              <w:rPr>
                <w:rFonts w:hint="eastAsia" w:ascii="仿宋_GB2312" w:hAnsi="宋体" w:eastAsia="仿宋_GB2312" w:cs="宋体"/>
                <w:spacing w:val="-10"/>
                <w:kern w:val="0"/>
                <w:sz w:val="32"/>
                <w:szCs w:val="32"/>
              </w:rPr>
            </w:pPr>
            <w:r>
              <w:rPr>
                <w:rFonts w:hint="eastAsia" w:ascii="仿宋_GB2312" w:hAnsi="宋体" w:eastAsia="仿宋_GB2312" w:cs="宋体"/>
                <w:spacing w:val="-10"/>
                <w:kern w:val="0"/>
                <w:sz w:val="32"/>
                <w:szCs w:val="32"/>
              </w:rPr>
              <w:t>行政</w:t>
            </w:r>
          </w:p>
          <w:p>
            <w:pPr>
              <w:widowControl/>
              <w:jc w:val="center"/>
              <w:rPr>
                <w:rFonts w:hint="eastAsia" w:ascii="仿宋_GB2312" w:hAnsi="宋体" w:eastAsia="仿宋_GB2312" w:cs="宋体"/>
                <w:kern w:val="0"/>
                <w:sz w:val="32"/>
                <w:szCs w:val="32"/>
              </w:rPr>
            </w:pPr>
            <w:r>
              <w:rPr>
                <w:rFonts w:hint="eastAsia" w:ascii="仿宋_GB2312" w:hAnsi="宋体" w:eastAsia="仿宋_GB2312" w:cs="宋体"/>
                <w:spacing w:val="-10"/>
                <w:kern w:val="0"/>
                <w:sz w:val="32"/>
                <w:szCs w:val="32"/>
              </w:rPr>
              <w:t>办公</w:t>
            </w:r>
          </w:p>
        </w:tc>
        <w:tc>
          <w:tcPr>
            <w:tcW w:w="1513" w:type="dxa"/>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行政用房</w:t>
            </w:r>
          </w:p>
        </w:tc>
        <w:tc>
          <w:tcPr>
            <w:tcW w:w="1296" w:type="dxa"/>
            <w:vAlign w:val="center"/>
          </w:tcPr>
          <w:p>
            <w:pPr>
              <w:widowControl/>
              <w:jc w:val="center"/>
              <w:rPr>
                <w:rFonts w:eastAsia="仿宋_GB2312"/>
                <w:kern w:val="0"/>
                <w:sz w:val="24"/>
                <w:szCs w:val="24"/>
              </w:rPr>
            </w:pPr>
            <w:r>
              <w:rPr>
                <w:rFonts w:eastAsia="仿宋_GB2312"/>
                <w:kern w:val="0"/>
                <w:sz w:val="24"/>
                <w:szCs w:val="24"/>
              </w:rPr>
              <w:t>7199.89</w:t>
            </w:r>
          </w:p>
        </w:tc>
        <w:tc>
          <w:tcPr>
            <w:tcW w:w="1676" w:type="dxa"/>
            <w:vAlign w:val="center"/>
          </w:tcPr>
          <w:p>
            <w:pPr>
              <w:widowControl/>
              <w:jc w:val="center"/>
              <w:rPr>
                <w:rFonts w:eastAsia="仿宋_GB2312"/>
                <w:kern w:val="0"/>
                <w:sz w:val="24"/>
                <w:szCs w:val="24"/>
              </w:rPr>
            </w:pPr>
            <w:r>
              <w:rPr>
                <w:rFonts w:eastAsia="仿宋_GB2312"/>
                <w:kern w:val="0"/>
                <w:sz w:val="24"/>
                <w:szCs w:val="24"/>
              </w:rPr>
              <w:t>2978.7</w:t>
            </w:r>
          </w:p>
        </w:tc>
        <w:tc>
          <w:tcPr>
            <w:tcW w:w="1676" w:type="dxa"/>
            <w:vAlign w:val="center"/>
          </w:tcPr>
          <w:p>
            <w:pPr>
              <w:widowControl/>
              <w:jc w:val="center"/>
              <w:rPr>
                <w:rFonts w:eastAsia="仿宋_GB2312"/>
                <w:kern w:val="0"/>
                <w:sz w:val="24"/>
                <w:szCs w:val="24"/>
              </w:rPr>
            </w:pPr>
            <w:r>
              <w:rPr>
                <w:rFonts w:eastAsia="仿宋_GB2312"/>
                <w:kern w:val="0"/>
                <w:sz w:val="24"/>
                <w:szCs w:val="24"/>
              </w:rPr>
              <w:t>180</w:t>
            </w:r>
          </w:p>
        </w:tc>
        <w:tc>
          <w:tcPr>
            <w:tcW w:w="1648" w:type="dxa"/>
            <w:vAlign w:val="center"/>
          </w:tcPr>
          <w:p>
            <w:pPr>
              <w:widowControl/>
              <w:jc w:val="center"/>
              <w:rPr>
                <w:rFonts w:eastAsia="仿宋_GB2312"/>
                <w:kern w:val="0"/>
                <w:sz w:val="24"/>
                <w:szCs w:val="24"/>
              </w:rPr>
            </w:pPr>
            <w:r>
              <w:rPr>
                <w:rFonts w:eastAsia="仿宋_GB2312"/>
                <w:kern w:val="0"/>
                <w:sz w:val="24"/>
                <w:szCs w:val="24"/>
              </w:rPr>
              <w:t>645.28</w:t>
            </w:r>
          </w:p>
        </w:tc>
        <w:tc>
          <w:tcPr>
            <w:tcW w:w="1251" w:type="dxa"/>
            <w:vAlign w:val="center"/>
          </w:tcPr>
          <w:p>
            <w:pPr>
              <w:widowControl/>
              <w:jc w:val="center"/>
              <w:rPr>
                <w:rFonts w:eastAsia="仿宋_GB2312"/>
                <w:kern w:val="0"/>
                <w:sz w:val="24"/>
                <w:szCs w:val="24"/>
              </w:rPr>
            </w:pPr>
            <w:r>
              <w:rPr>
                <w:rFonts w:eastAsia="仿宋_GB2312"/>
                <w:kern w:val="0"/>
                <w:sz w:val="24"/>
                <w:szCs w:val="24"/>
              </w:rPr>
              <w:t>11003.87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2735" w:type="dxa"/>
            <w:gridSpan w:val="2"/>
            <w:vAlign w:val="top"/>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总   计</w:t>
            </w:r>
          </w:p>
        </w:tc>
        <w:tc>
          <w:tcPr>
            <w:tcW w:w="1296" w:type="dxa"/>
            <w:vAlign w:val="center"/>
          </w:tcPr>
          <w:p>
            <w:pPr>
              <w:widowControl/>
              <w:jc w:val="center"/>
              <w:rPr>
                <w:rFonts w:eastAsia="仿宋_GB2312"/>
                <w:kern w:val="0"/>
                <w:sz w:val="24"/>
                <w:szCs w:val="24"/>
              </w:rPr>
            </w:pPr>
            <w:r>
              <w:rPr>
                <w:rFonts w:eastAsia="仿宋_GB2312"/>
                <w:kern w:val="0"/>
                <w:sz w:val="24"/>
                <w:szCs w:val="24"/>
              </w:rPr>
              <w:t>134622.27</w:t>
            </w:r>
          </w:p>
        </w:tc>
        <w:tc>
          <w:tcPr>
            <w:tcW w:w="1676" w:type="dxa"/>
            <w:vAlign w:val="center"/>
          </w:tcPr>
          <w:p>
            <w:pPr>
              <w:widowControl/>
              <w:jc w:val="center"/>
              <w:rPr>
                <w:rFonts w:eastAsia="仿宋_GB2312"/>
                <w:kern w:val="0"/>
                <w:sz w:val="24"/>
                <w:szCs w:val="24"/>
              </w:rPr>
            </w:pPr>
            <w:r>
              <w:rPr>
                <w:rFonts w:eastAsia="仿宋_GB2312"/>
                <w:kern w:val="0"/>
                <w:sz w:val="24"/>
                <w:szCs w:val="24"/>
              </w:rPr>
              <w:t>46395.65</w:t>
            </w:r>
          </w:p>
        </w:tc>
        <w:tc>
          <w:tcPr>
            <w:tcW w:w="1676" w:type="dxa"/>
            <w:vAlign w:val="center"/>
          </w:tcPr>
          <w:p>
            <w:pPr>
              <w:widowControl/>
              <w:jc w:val="center"/>
              <w:rPr>
                <w:rFonts w:eastAsia="仿宋_GB2312"/>
                <w:kern w:val="0"/>
                <w:sz w:val="24"/>
                <w:szCs w:val="24"/>
              </w:rPr>
            </w:pPr>
            <w:r>
              <w:rPr>
                <w:rFonts w:eastAsia="仿宋_GB2312"/>
                <w:kern w:val="0"/>
                <w:sz w:val="24"/>
                <w:szCs w:val="24"/>
              </w:rPr>
              <w:t>15186.75</w:t>
            </w:r>
          </w:p>
        </w:tc>
        <w:tc>
          <w:tcPr>
            <w:tcW w:w="1648" w:type="dxa"/>
            <w:vAlign w:val="center"/>
          </w:tcPr>
          <w:p>
            <w:pPr>
              <w:widowControl/>
              <w:jc w:val="center"/>
              <w:rPr>
                <w:rFonts w:eastAsia="仿宋_GB2312"/>
                <w:kern w:val="0"/>
                <w:sz w:val="24"/>
                <w:szCs w:val="24"/>
              </w:rPr>
            </w:pPr>
            <w:r>
              <w:rPr>
                <w:rFonts w:eastAsia="仿宋_GB2312"/>
                <w:kern w:val="0"/>
                <w:sz w:val="24"/>
                <w:szCs w:val="24"/>
              </w:rPr>
              <w:t>19018.31</w:t>
            </w:r>
          </w:p>
        </w:tc>
        <w:tc>
          <w:tcPr>
            <w:tcW w:w="1251" w:type="dxa"/>
            <w:vAlign w:val="center"/>
          </w:tcPr>
          <w:p>
            <w:pPr>
              <w:widowControl/>
              <w:jc w:val="center"/>
              <w:rPr>
                <w:rFonts w:eastAsia="仿宋_GB2312"/>
                <w:kern w:val="0"/>
                <w:sz w:val="24"/>
                <w:szCs w:val="24"/>
              </w:rPr>
            </w:pPr>
            <w:r>
              <w:rPr>
                <w:rFonts w:eastAsia="仿宋_GB2312"/>
                <w:kern w:val="0"/>
                <w:sz w:val="24"/>
                <w:szCs w:val="24"/>
              </w:rPr>
              <w:t>215222.98</w:t>
            </w:r>
          </w:p>
        </w:tc>
      </w:tr>
    </w:tbl>
    <w:p>
      <w:pPr>
        <w:pStyle w:val="18"/>
        <w:spacing w:before="0" w:beforeAutospacing="0" w:after="0" w:afterAutospacing="0" w:line="600" w:lineRule="exact"/>
        <w:ind w:firstLine="630" w:firstLineChars="196"/>
        <w:jc w:val="both"/>
        <w:rPr>
          <w:rFonts w:hint="eastAsia" w:ascii="仿宋_GB2312" w:eastAsia="仿宋_GB2312"/>
          <w:b/>
          <w:bCs/>
          <w:sz w:val="32"/>
          <w:szCs w:val="32"/>
        </w:rPr>
      </w:pPr>
      <w:r>
        <w:rPr>
          <w:rFonts w:hint="eastAsia" w:ascii="仿宋_GB2312" w:eastAsia="仿宋_GB2312"/>
          <w:b/>
          <w:bCs/>
          <w:sz w:val="32"/>
          <w:szCs w:val="32"/>
        </w:rPr>
        <w:t>二、十二五（含十二五前）校园基本建设的发展状况</w:t>
      </w:r>
    </w:p>
    <w:p>
      <w:pPr>
        <w:tabs>
          <w:tab w:val="left" w:pos="360"/>
        </w:tabs>
        <w:spacing w:line="600" w:lineRule="exact"/>
        <w:ind w:firstLine="652" w:firstLineChars="203"/>
        <w:rPr>
          <w:rFonts w:hint="eastAsia" w:ascii="仿宋_GB2312" w:eastAsia="仿宋_GB2312"/>
          <w:b/>
          <w:sz w:val="32"/>
          <w:szCs w:val="32"/>
        </w:rPr>
      </w:pPr>
      <w:r>
        <w:rPr>
          <w:rFonts w:hint="eastAsia" w:ascii="仿宋_GB2312" w:eastAsia="仿宋_GB2312"/>
          <w:b/>
          <w:sz w:val="32"/>
          <w:szCs w:val="32"/>
        </w:rPr>
        <w:t>（一）主要成就</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1.完成图书信息大楼的建设。图书馆是高校图书资料和情报信息的中心，是广大师生学习的主要园地，也是学院重要标志性的建筑。由于接受转让的原培英学校资产中没有图书馆。作为一所普通高等学校，没有一定规模的图书馆、信息中心是不符合国家关于高校办学应具备的基本条件的。为此，学院在院本部已投资建设一座具有一定特色的图书信息大楼，总建筑面积16053平方米，该项目已于2006年秋季竣工后并交付使用。</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2.新建院本部学生宿舍6幢。为保证学生的住宿需要，学院在院本部新建学生宿舍6幢，总建筑面积13923平方米。该项目已于2007年9月交付使用。</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3.新建教学楼（三区）和实训楼。教学设施的基本建设是一所学校生存发展基本条件，为了达到办学的基本条件，学院于2009在院年本部投资建设教学楼、实训楼项目，总建筑面积19022平方米。该项目已于2010年9月交付使用。</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4.整改校区校容校貌。2012年暑假整合了金园校区的校容校貌，拆除原汕头教育学院和汕头幼儿师范学校之间的围墙，打通教育学院图书楼底层，建设塑胶跑道运动场，使整个金园校区融为一体，使金园校区的校容校貌更为美观大方。2013年暑假，整改新津校区的校容校貌，整改新津校区的旧房和校道，旧房外墙贴马赛克，重新铺设校道，使新津校区的校容校貌大大改观。</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5.2015年改善了院本部校容校貌和校园安全设施。改造了校园主道和罗马广场周围的灯光配置，建设了大门、侧门道闸，在校园内和校门口增设减速带。</w:t>
      </w:r>
    </w:p>
    <w:p>
      <w:pPr>
        <w:tabs>
          <w:tab w:val="left" w:pos="360"/>
        </w:tabs>
        <w:spacing w:line="600" w:lineRule="exact"/>
        <w:ind w:firstLine="652" w:firstLineChars="203"/>
        <w:rPr>
          <w:rFonts w:hint="eastAsia" w:ascii="仿宋_GB2312" w:eastAsia="仿宋_GB2312"/>
          <w:b/>
          <w:sz w:val="32"/>
          <w:szCs w:val="32"/>
        </w:rPr>
      </w:pPr>
      <w:r>
        <w:rPr>
          <w:rFonts w:hint="eastAsia" w:ascii="仿宋_GB2312" w:eastAsia="仿宋_GB2312"/>
          <w:b/>
          <w:sz w:val="32"/>
          <w:szCs w:val="32"/>
        </w:rPr>
        <w:t>（二）存在的主要问题与不足</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1.用地不够：按10000学生规模，学校用地总量需要1000亩左右，学院现有土地632.5亩将不能满足办学需要。</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2.校区分散老旧：学院共有4个校区，院本部大部分建筑物为中华培英学校时期建设，新津、东墩、金园三校区绝大部分建筑物为上世纪80-90年代所建，现老化破旧严重。</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3.基础设施老化，教学场地和生活设施条件不足：发展需求比建设速度快，基础条件跟不上，教学场地不足。</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4.学生宿舍数量不足，住宿条件及生活设施较差。</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 xml:space="preserve">5.教师宿舍数量不足，教师住宿、午休的宿位没能完全解决。 </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6.院本部和各校区的校容校貌需进一步提升。</w:t>
      </w:r>
    </w:p>
    <w:p>
      <w:pPr>
        <w:tabs>
          <w:tab w:val="left" w:pos="360"/>
        </w:tabs>
        <w:spacing w:line="600" w:lineRule="exact"/>
        <w:ind w:firstLine="652" w:firstLineChars="203"/>
        <w:rPr>
          <w:rFonts w:hint="eastAsia" w:ascii="仿宋_GB2312" w:eastAsia="仿宋_GB2312"/>
          <w:b/>
          <w:sz w:val="32"/>
          <w:szCs w:val="32"/>
        </w:rPr>
      </w:pPr>
      <w:r>
        <w:rPr>
          <w:rFonts w:hint="eastAsia" w:ascii="仿宋_GB2312" w:eastAsia="仿宋_GB2312"/>
          <w:b/>
          <w:sz w:val="32"/>
          <w:szCs w:val="32"/>
        </w:rPr>
        <w:t>三、“十三五”期间面临的形势</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今后五年是学院发展至关重要的时期。从总体上看，学院发展面临的机遇与挑战并存，希望与困难同在。 校园基本建设要适应学院的发展、服务学院的发展，学院的发展对校园基本建设的要求更高。校园面积不足，院本部校园用地征用尚未完成，校区整合，校舍老化、加固维修任务繁重，学生宿舍不足，院本部教师中午休息舍位不足等等问题是校园基本建设面临的形势与困难。</w:t>
      </w:r>
    </w:p>
    <w:p>
      <w:pPr>
        <w:tabs>
          <w:tab w:val="left" w:pos="360"/>
        </w:tabs>
        <w:spacing w:line="600" w:lineRule="exact"/>
        <w:ind w:firstLine="652" w:firstLineChars="203"/>
        <w:rPr>
          <w:rFonts w:hint="eastAsia" w:ascii="仿宋_GB2312" w:eastAsia="仿宋_GB2312"/>
          <w:b/>
          <w:sz w:val="32"/>
          <w:szCs w:val="32"/>
        </w:rPr>
      </w:pPr>
      <w:r>
        <w:rPr>
          <w:rFonts w:hint="eastAsia" w:ascii="仿宋_GB2312" w:eastAsia="仿宋_GB2312"/>
          <w:b/>
          <w:sz w:val="32"/>
          <w:szCs w:val="32"/>
        </w:rPr>
        <w:t>四、十三五期间校园基本建设指导思想、总体工作思路及重点建设项目</w:t>
      </w:r>
    </w:p>
    <w:p>
      <w:pPr>
        <w:tabs>
          <w:tab w:val="left" w:pos="360"/>
        </w:tabs>
        <w:spacing w:line="600" w:lineRule="exact"/>
        <w:ind w:firstLine="652" w:firstLineChars="203"/>
        <w:rPr>
          <w:rFonts w:hint="eastAsia" w:ascii="仿宋_GB2312" w:eastAsia="仿宋_GB2312"/>
          <w:b/>
          <w:sz w:val="32"/>
          <w:szCs w:val="32"/>
        </w:rPr>
      </w:pPr>
      <w:r>
        <w:rPr>
          <w:rFonts w:hint="eastAsia" w:ascii="仿宋_GB2312" w:eastAsia="仿宋_GB2312"/>
          <w:b/>
          <w:sz w:val="32"/>
          <w:szCs w:val="32"/>
        </w:rPr>
        <w:t>（一）指导思想及工作思路</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总体规划，分步实施，主辅明确，重点突出。坚持量力而行、安全美观、实用实效的原则，建设能适应教育事业发展需要、环境优美、配套合理、功能齐全的现代化大学校园。</w:t>
      </w:r>
      <w:bookmarkStart w:id="6" w:name="_Toc282441756"/>
      <w:r>
        <w:rPr>
          <w:rFonts w:hint="eastAsia" w:ascii="仿宋_GB2312" w:eastAsia="仿宋_GB2312"/>
          <w:sz w:val="32"/>
          <w:szCs w:val="32"/>
        </w:rPr>
        <w:t>校园建设既要量入而出，又要考虑可持续发展，在项目安排上要留有余地。校园建设尤其是环境文化建设，除了必要的基础设施外，大学文化内涵与大学文化的传承和积淀，大学精神的培育有紧密的关联。校园建设要注重实用实效，不搞花架子工程。校园环境破旧，建设任务很多、很重，要根据不同时期学校的中心工作，在确定建设项目和资金投入上分重点和一般，分轻重缓急。</w:t>
      </w:r>
      <w:bookmarkEnd w:id="6"/>
      <w:bookmarkStart w:id="7" w:name="_Toc282441757"/>
      <w:r>
        <w:rPr>
          <w:rFonts w:hint="eastAsia" w:ascii="仿宋_GB2312" w:eastAsia="仿宋_GB2312"/>
          <w:sz w:val="32"/>
          <w:szCs w:val="32"/>
        </w:rPr>
        <w:t>因此，“十三五”期间，校园基本建设工作思路是：用科学发展的观点，贯穿整个“十三五”校园基本建设的全过程；以服务教学为中心工作，按学院“十三五”发展规划的总要求，在整体构建校园文化的视野内营造基本建设，加强文化内涵建设，提高校园文化品位；坚持科学管理，规范管理，提高建设质量，确保校园基本建设目标的实现。</w:t>
      </w:r>
      <w:bookmarkEnd w:id="7"/>
    </w:p>
    <w:p>
      <w:pPr>
        <w:tabs>
          <w:tab w:val="left" w:pos="360"/>
        </w:tabs>
        <w:spacing w:line="600" w:lineRule="exact"/>
        <w:ind w:firstLine="652" w:firstLineChars="203"/>
        <w:rPr>
          <w:rFonts w:hint="eastAsia" w:ascii="仿宋_GB2312" w:eastAsia="仿宋_GB2312"/>
          <w:b/>
          <w:sz w:val="32"/>
          <w:szCs w:val="32"/>
        </w:rPr>
      </w:pPr>
      <w:bookmarkStart w:id="8" w:name="_Toc282441758"/>
      <w:bookmarkStart w:id="9" w:name="_Toc282441143"/>
      <w:bookmarkStart w:id="10" w:name="_Toc282440405"/>
      <w:bookmarkStart w:id="11" w:name="_Toc282440115"/>
      <w:r>
        <w:rPr>
          <w:rFonts w:hint="eastAsia" w:ascii="仿宋_GB2312" w:eastAsia="仿宋_GB2312"/>
          <w:b/>
          <w:sz w:val="32"/>
          <w:szCs w:val="32"/>
        </w:rPr>
        <w:t>（二）校园基本建设发展目标</w:t>
      </w:r>
      <w:bookmarkEnd w:id="8"/>
      <w:bookmarkEnd w:id="9"/>
      <w:bookmarkEnd w:id="10"/>
      <w:bookmarkEnd w:id="11"/>
    </w:p>
    <w:p>
      <w:pPr>
        <w:tabs>
          <w:tab w:val="left" w:pos="360"/>
        </w:tabs>
        <w:spacing w:line="600" w:lineRule="exact"/>
        <w:ind w:firstLine="649" w:firstLineChars="203"/>
        <w:rPr>
          <w:rFonts w:hint="eastAsia" w:ascii="仿宋_GB2312" w:eastAsia="仿宋_GB2312"/>
          <w:sz w:val="32"/>
          <w:szCs w:val="32"/>
        </w:rPr>
      </w:pPr>
      <w:bookmarkStart w:id="12" w:name="_Toc282441759"/>
      <w:bookmarkStart w:id="13" w:name="_Toc282441144"/>
      <w:bookmarkStart w:id="14" w:name="_Toc282440406"/>
      <w:bookmarkStart w:id="15" w:name="_Toc282440116"/>
      <w:r>
        <w:rPr>
          <w:rFonts w:hint="eastAsia" w:ascii="仿宋_GB2312" w:eastAsia="仿宋_GB2312"/>
          <w:sz w:val="32"/>
          <w:szCs w:val="32"/>
        </w:rPr>
        <w:t>根据学院的办学定位，提升校园环境文化建设品位，进一步改善校园基础设施</w:t>
      </w:r>
      <w:bookmarkEnd w:id="12"/>
      <w:bookmarkStart w:id="16" w:name="_Toc282441760"/>
      <w:r>
        <w:rPr>
          <w:rFonts w:hint="eastAsia" w:ascii="仿宋_GB2312" w:eastAsia="仿宋_GB2312"/>
          <w:sz w:val="32"/>
          <w:szCs w:val="32"/>
        </w:rPr>
        <w:t>以便较好的满足教学、科研、教师、学生等的校园学习、生活需求，为创建“平安校园、文化校园、节能校园、绿化校园、和谐校园”而努力。</w:t>
      </w:r>
    </w:p>
    <w:bookmarkEnd w:id="13"/>
    <w:bookmarkEnd w:id="14"/>
    <w:bookmarkEnd w:id="15"/>
    <w:bookmarkEnd w:id="16"/>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1.到2020年达到国家高等职业技术学院的评估标准，符合《高等职业学校设置标准（暂行）》和《普通高等学校建筑规划面积指标》等相关文件要求。</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（1）解决450亩土地的征用工作问题，整合资源，加快东墩、新津两校区的土地置换工作和校区整合。</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（2）着力改善院本部和各校区学生的住宿条件，完善教育、实训运动场地等基础设施。</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（3）大力推进院本部及各校区老旧楼房的维修改造工作，力争十三五期间基本完成老旧楼房的修缮计划。</w:t>
      </w:r>
    </w:p>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（4）规划配套院本部教师公寓，解决院本部教师午休宿位问题。</w:t>
      </w:r>
    </w:p>
    <w:p>
      <w:pPr>
        <w:tabs>
          <w:tab w:val="left" w:pos="360"/>
        </w:tabs>
        <w:spacing w:line="600" w:lineRule="exact"/>
        <w:ind w:firstLine="652" w:firstLineChars="203"/>
        <w:rPr>
          <w:rFonts w:hint="eastAsia" w:ascii="仿宋_GB2312" w:eastAsia="仿宋_GB2312"/>
          <w:b/>
          <w:sz w:val="32"/>
          <w:szCs w:val="32"/>
        </w:rPr>
      </w:pPr>
      <w:r>
        <w:rPr>
          <w:rFonts w:hint="eastAsia" w:ascii="仿宋_GB2312" w:eastAsia="仿宋_GB2312"/>
          <w:b/>
          <w:sz w:val="32"/>
          <w:szCs w:val="32"/>
        </w:rPr>
        <w:t>重点建设项目</w:t>
      </w:r>
    </w:p>
    <w:p>
      <w:pPr>
        <w:tabs>
          <w:tab w:val="left" w:pos="360"/>
        </w:tabs>
        <w:spacing w:line="600" w:lineRule="exact"/>
        <w:ind w:firstLine="652" w:firstLineChars="203"/>
        <w:rPr>
          <w:rFonts w:hint="eastAsia" w:ascii="仿宋_GB2312" w:eastAsia="仿宋_GB2312"/>
          <w:b/>
          <w:sz w:val="32"/>
          <w:szCs w:val="32"/>
        </w:rPr>
      </w:pPr>
      <w:r>
        <w:rPr>
          <w:rFonts w:hint="eastAsia" w:ascii="仿宋_GB2312" w:eastAsia="仿宋_GB2312"/>
          <w:b/>
          <w:sz w:val="32"/>
          <w:szCs w:val="32"/>
        </w:rPr>
        <w:t>（1）院本部</w:t>
      </w:r>
    </w:p>
    <w:p>
      <w:pPr>
        <w:tabs>
          <w:tab w:val="left" w:pos="360"/>
        </w:tabs>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1.加快学院老旧楼房修缮步伐，改善学生学习生活环境和校容校貌。</w:t>
      </w:r>
    </w:p>
    <w:tbl>
      <w:tblPr>
        <w:tblStyle w:val="26"/>
        <w:tblW w:w="82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540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top"/>
          </w:tcPr>
          <w:p>
            <w:pPr>
              <w:spacing w:line="500" w:lineRule="exact"/>
              <w:jc w:val="center"/>
              <w:rPr>
                <w:rFonts w:hint="eastAsia" w:ascii="仿宋_GB2312" w:eastAsia="仿宋_GB2312"/>
                <w:b/>
                <w:sz w:val="28"/>
                <w:szCs w:val="28"/>
              </w:rPr>
            </w:pPr>
            <w:r>
              <w:rPr>
                <w:rFonts w:hint="eastAsia" w:ascii="仿宋_GB2312" w:eastAsia="仿宋_GB2312"/>
                <w:b/>
                <w:sz w:val="28"/>
                <w:szCs w:val="28"/>
              </w:rPr>
              <w:t>序号</w:t>
            </w:r>
          </w:p>
        </w:tc>
        <w:tc>
          <w:tcPr>
            <w:tcW w:w="5400" w:type="dxa"/>
            <w:vAlign w:val="top"/>
          </w:tcPr>
          <w:p>
            <w:pPr>
              <w:spacing w:line="500" w:lineRule="exact"/>
              <w:jc w:val="center"/>
              <w:rPr>
                <w:rFonts w:hint="eastAsia" w:ascii="仿宋_GB2312" w:eastAsia="仿宋_GB2312"/>
                <w:b/>
                <w:sz w:val="28"/>
                <w:szCs w:val="28"/>
              </w:rPr>
            </w:pPr>
            <w:r>
              <w:rPr>
                <w:rFonts w:hint="eastAsia" w:ascii="仿宋_GB2312" w:eastAsia="仿宋_GB2312"/>
                <w:b/>
                <w:sz w:val="28"/>
                <w:szCs w:val="28"/>
              </w:rPr>
              <w:t>项    目</w:t>
            </w:r>
          </w:p>
        </w:tc>
        <w:tc>
          <w:tcPr>
            <w:tcW w:w="1980" w:type="dxa"/>
            <w:vAlign w:val="top"/>
          </w:tcPr>
          <w:p>
            <w:pPr>
              <w:spacing w:line="500" w:lineRule="exact"/>
              <w:rPr>
                <w:rFonts w:hint="eastAsia" w:ascii="仿宋_GB2312" w:eastAsia="仿宋_GB2312"/>
                <w:b/>
                <w:sz w:val="28"/>
                <w:szCs w:val="28"/>
              </w:rPr>
            </w:pPr>
            <w:r>
              <w:rPr>
                <w:rFonts w:hint="eastAsia" w:ascii="仿宋_GB2312" w:eastAsia="仿宋_GB2312"/>
                <w:b/>
                <w:sz w:val="28"/>
                <w:szCs w:val="28"/>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艺术体育系风雨操场维修改造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w:t>
            </w:r>
          </w:p>
        </w:tc>
        <w:tc>
          <w:tcPr>
            <w:tcW w:w="5400" w:type="dxa"/>
            <w:vAlign w:val="top"/>
          </w:tcPr>
          <w:p>
            <w:pPr>
              <w:pStyle w:val="38"/>
              <w:spacing w:line="500" w:lineRule="exact"/>
              <w:ind w:firstLine="0" w:firstLineChars="0"/>
              <w:rPr>
                <w:rFonts w:hint="eastAsia" w:ascii="仿宋_GB2312" w:eastAsia="仿宋_GB2312"/>
                <w:spacing w:val="-12"/>
                <w:w w:val="93"/>
                <w:sz w:val="28"/>
                <w:szCs w:val="28"/>
              </w:rPr>
            </w:pPr>
            <w:r>
              <w:rPr>
                <w:rFonts w:hint="eastAsia" w:ascii="仿宋_GB2312" w:eastAsia="仿宋_GB2312"/>
                <w:spacing w:val="-12"/>
                <w:w w:val="93"/>
                <w:sz w:val="28"/>
                <w:szCs w:val="28"/>
              </w:rPr>
              <w:t>学生宿舍1、2号楼空调电气线路改造和空调配置</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3</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校园内增设步行道</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4</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改造侧门荒地，建设学生活动场所</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5</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学生宿舍5号楼修缮改造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6</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罗马广场改造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7</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改造运动场围网</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9</w:t>
            </w:r>
          </w:p>
        </w:tc>
        <w:tc>
          <w:tcPr>
            <w:tcW w:w="5400" w:type="dxa"/>
            <w:vAlign w:val="top"/>
          </w:tcPr>
          <w:p>
            <w:pPr>
              <w:pStyle w:val="38"/>
              <w:spacing w:line="500" w:lineRule="exact"/>
              <w:ind w:firstLine="0" w:firstLineChars="0"/>
              <w:rPr>
                <w:rFonts w:hint="eastAsia" w:ascii="仿宋_GB2312" w:eastAsia="仿宋_GB2312"/>
                <w:spacing w:val="-10"/>
                <w:sz w:val="28"/>
                <w:szCs w:val="28"/>
              </w:rPr>
            </w:pPr>
            <w:r>
              <w:rPr>
                <w:rFonts w:hint="eastAsia" w:ascii="仿宋_GB2312" w:eastAsia="仿宋_GB2312"/>
                <w:spacing w:val="-10"/>
                <w:sz w:val="28"/>
                <w:szCs w:val="28"/>
              </w:rPr>
              <w:t>改造院本部及各校区学生宿舍热水供应系统</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10</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综合楼及大礼堂修缮改造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11</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第一食堂环境优化</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12</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全面改造院本部路灯</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13</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校园绿化改造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14</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改造侧门荒地，建设停车场</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15</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完善校园步行道建设</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16</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院本部运动场看台改造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17</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学生宿舍1、2号楼修缮改造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18</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第二食堂环境优化</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19</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学生宿舍3号楼修缮改造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8"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w:t>
            </w:r>
          </w:p>
        </w:tc>
        <w:tc>
          <w:tcPr>
            <w:tcW w:w="540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学生宿舍4号楼修缮改造</w:t>
            </w:r>
          </w:p>
        </w:tc>
        <w:tc>
          <w:tcPr>
            <w:tcW w:w="198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2020</w:t>
            </w:r>
          </w:p>
        </w:tc>
      </w:tr>
    </w:tbl>
    <w:p>
      <w:pPr>
        <w:tabs>
          <w:tab w:val="left" w:pos="360"/>
        </w:tabs>
        <w:spacing w:line="600" w:lineRule="exact"/>
        <w:ind w:firstLine="649" w:firstLineChars="203"/>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b/>
          <w:sz w:val="32"/>
          <w:szCs w:val="32"/>
        </w:rPr>
        <w:t xml:space="preserve"> </w:t>
      </w:r>
      <w:r>
        <w:rPr>
          <w:rFonts w:hint="eastAsia" w:ascii="仿宋_GB2312" w:eastAsia="仿宋_GB2312"/>
          <w:sz w:val="32"/>
          <w:szCs w:val="32"/>
        </w:rPr>
        <w:t>2.力争解决450亩土地的征用事宜并规划建设</w:t>
      </w:r>
    </w:p>
    <w:tbl>
      <w:tblPr>
        <w:tblStyle w:val="26"/>
        <w:tblW w:w="82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3756"/>
        <w:gridCol w:w="1590"/>
        <w:gridCol w:w="2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35" w:type="dxa"/>
            <w:vAlign w:val="center"/>
          </w:tcPr>
          <w:p>
            <w:pPr>
              <w:pStyle w:val="38"/>
              <w:spacing w:line="500" w:lineRule="exact"/>
              <w:ind w:firstLine="0" w:firstLineChars="0"/>
              <w:jc w:val="center"/>
              <w:rPr>
                <w:rFonts w:hint="eastAsia" w:ascii="仿宋_GB2312" w:eastAsia="仿宋_GB2312"/>
                <w:b/>
                <w:sz w:val="28"/>
                <w:szCs w:val="28"/>
              </w:rPr>
            </w:pPr>
            <w:r>
              <w:rPr>
                <w:rFonts w:hint="eastAsia" w:ascii="仿宋_GB2312" w:eastAsia="仿宋_GB2312"/>
                <w:b/>
                <w:sz w:val="28"/>
                <w:szCs w:val="28"/>
              </w:rPr>
              <w:t>序号</w:t>
            </w:r>
          </w:p>
        </w:tc>
        <w:tc>
          <w:tcPr>
            <w:tcW w:w="3756" w:type="dxa"/>
            <w:vAlign w:val="center"/>
          </w:tcPr>
          <w:p>
            <w:pPr>
              <w:pStyle w:val="38"/>
              <w:spacing w:line="500" w:lineRule="exact"/>
              <w:ind w:firstLine="0" w:firstLineChars="0"/>
              <w:jc w:val="center"/>
              <w:rPr>
                <w:rFonts w:hint="eastAsia" w:ascii="仿宋_GB2312" w:eastAsia="仿宋_GB2312"/>
                <w:b/>
                <w:sz w:val="28"/>
                <w:szCs w:val="28"/>
              </w:rPr>
            </w:pPr>
            <w:r>
              <w:rPr>
                <w:rFonts w:hint="eastAsia" w:ascii="仿宋_GB2312" w:eastAsia="仿宋_GB2312"/>
                <w:b/>
                <w:sz w:val="28"/>
                <w:szCs w:val="28"/>
              </w:rPr>
              <w:t>已完成和计划投资项目</w:t>
            </w:r>
          </w:p>
        </w:tc>
        <w:tc>
          <w:tcPr>
            <w:tcW w:w="1590" w:type="dxa"/>
            <w:vAlign w:val="center"/>
          </w:tcPr>
          <w:p>
            <w:pPr>
              <w:pStyle w:val="38"/>
              <w:spacing w:line="500" w:lineRule="exact"/>
              <w:ind w:firstLine="0" w:firstLineChars="0"/>
              <w:jc w:val="center"/>
              <w:rPr>
                <w:rFonts w:hint="eastAsia" w:ascii="仿宋_GB2312" w:eastAsia="仿宋_GB2312"/>
                <w:b/>
                <w:spacing w:val="-10"/>
                <w:sz w:val="28"/>
                <w:szCs w:val="28"/>
              </w:rPr>
            </w:pPr>
            <w:r>
              <w:rPr>
                <w:rFonts w:hint="eastAsia" w:ascii="仿宋_GB2312" w:eastAsia="仿宋_GB2312"/>
                <w:b/>
                <w:spacing w:val="-10"/>
                <w:sz w:val="28"/>
                <w:szCs w:val="28"/>
              </w:rPr>
              <w:t>建筑面积</w:t>
            </w:r>
          </w:p>
          <w:p>
            <w:pPr>
              <w:pStyle w:val="38"/>
              <w:spacing w:line="500" w:lineRule="exact"/>
              <w:ind w:firstLine="0" w:firstLineChars="0"/>
              <w:jc w:val="center"/>
              <w:rPr>
                <w:rFonts w:hint="eastAsia" w:ascii="仿宋_GB2312" w:eastAsia="仿宋_GB2312"/>
                <w:b/>
                <w:spacing w:val="-10"/>
                <w:sz w:val="28"/>
                <w:szCs w:val="28"/>
              </w:rPr>
            </w:pPr>
            <w:r>
              <w:rPr>
                <w:rFonts w:hint="eastAsia" w:ascii="仿宋_GB2312" w:eastAsia="仿宋_GB2312"/>
                <w:b/>
                <w:spacing w:val="-10"/>
                <w:sz w:val="28"/>
                <w:szCs w:val="28"/>
              </w:rPr>
              <w:t>（平方米）</w:t>
            </w:r>
          </w:p>
        </w:tc>
        <w:tc>
          <w:tcPr>
            <w:tcW w:w="2083" w:type="dxa"/>
            <w:vAlign w:val="center"/>
          </w:tcPr>
          <w:p>
            <w:pPr>
              <w:pStyle w:val="38"/>
              <w:spacing w:line="500" w:lineRule="exact"/>
              <w:ind w:firstLine="0" w:firstLineChars="0"/>
              <w:jc w:val="center"/>
              <w:rPr>
                <w:rFonts w:hint="eastAsia" w:ascii="仿宋_GB2312" w:eastAsia="仿宋_GB2312"/>
                <w:b/>
                <w:sz w:val="28"/>
                <w:szCs w:val="28"/>
              </w:rPr>
            </w:pPr>
            <w:r>
              <w:rPr>
                <w:rFonts w:hint="eastAsia" w:ascii="仿宋_GB2312" w:eastAsia="仿宋_GB2312"/>
                <w:b/>
                <w:sz w:val="28"/>
                <w:szCs w:val="28"/>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5"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w:t>
            </w:r>
          </w:p>
        </w:tc>
        <w:tc>
          <w:tcPr>
            <w:tcW w:w="375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完成450亩规划用地的征用</w:t>
            </w:r>
          </w:p>
        </w:tc>
        <w:tc>
          <w:tcPr>
            <w:tcW w:w="1590" w:type="dxa"/>
            <w:vAlign w:val="top"/>
          </w:tcPr>
          <w:p>
            <w:pPr>
              <w:pStyle w:val="38"/>
              <w:spacing w:line="500" w:lineRule="exact"/>
              <w:ind w:firstLine="0" w:firstLineChars="0"/>
              <w:rPr>
                <w:rFonts w:hint="eastAsia" w:ascii="仿宋_GB2312" w:eastAsia="仿宋_GB2312"/>
                <w:sz w:val="28"/>
                <w:szCs w:val="28"/>
              </w:rPr>
            </w:pPr>
          </w:p>
        </w:tc>
        <w:tc>
          <w:tcPr>
            <w:tcW w:w="2083"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35" w:type="dxa"/>
            <w:vMerge w:val="restart"/>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w:t>
            </w:r>
          </w:p>
        </w:tc>
        <w:tc>
          <w:tcPr>
            <w:tcW w:w="375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①新建学生宿舍</w:t>
            </w:r>
          </w:p>
        </w:tc>
        <w:tc>
          <w:tcPr>
            <w:tcW w:w="159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13526</w:t>
            </w:r>
          </w:p>
        </w:tc>
        <w:tc>
          <w:tcPr>
            <w:tcW w:w="2083" w:type="dxa"/>
            <w:vMerge w:val="restart"/>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35" w:type="dxa"/>
            <w:vMerge w:val="continue"/>
            <w:vAlign w:val="center"/>
          </w:tcPr>
          <w:p>
            <w:pPr>
              <w:pStyle w:val="38"/>
              <w:spacing w:line="500" w:lineRule="exact"/>
              <w:ind w:firstLine="0" w:firstLineChars="0"/>
              <w:jc w:val="center"/>
              <w:rPr>
                <w:rFonts w:hint="eastAsia" w:ascii="仿宋_GB2312" w:eastAsia="仿宋_GB2312"/>
                <w:sz w:val="28"/>
                <w:szCs w:val="28"/>
              </w:rPr>
            </w:pPr>
          </w:p>
        </w:tc>
        <w:tc>
          <w:tcPr>
            <w:tcW w:w="375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②新建教学楼</w:t>
            </w:r>
          </w:p>
        </w:tc>
        <w:tc>
          <w:tcPr>
            <w:tcW w:w="159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20000</w:t>
            </w:r>
          </w:p>
        </w:tc>
        <w:tc>
          <w:tcPr>
            <w:tcW w:w="2083" w:type="dxa"/>
            <w:vMerge w:val="continue"/>
            <w:vAlign w:val="center"/>
          </w:tcPr>
          <w:p>
            <w:pPr>
              <w:pStyle w:val="38"/>
              <w:spacing w:line="500" w:lineRule="exact"/>
              <w:ind w:firstLine="0" w:firstLineChars="0"/>
              <w:jc w:val="cente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35" w:type="dxa"/>
            <w:vMerge w:val="continue"/>
            <w:vAlign w:val="center"/>
          </w:tcPr>
          <w:p>
            <w:pPr>
              <w:pStyle w:val="38"/>
              <w:spacing w:line="500" w:lineRule="exact"/>
              <w:ind w:firstLine="0" w:firstLineChars="0"/>
              <w:jc w:val="center"/>
              <w:rPr>
                <w:rFonts w:hint="eastAsia" w:ascii="仿宋_GB2312" w:eastAsia="仿宋_GB2312"/>
                <w:sz w:val="28"/>
                <w:szCs w:val="28"/>
              </w:rPr>
            </w:pPr>
          </w:p>
        </w:tc>
        <w:tc>
          <w:tcPr>
            <w:tcW w:w="375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③新建教师公寓</w:t>
            </w:r>
          </w:p>
        </w:tc>
        <w:tc>
          <w:tcPr>
            <w:tcW w:w="159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5000</w:t>
            </w:r>
          </w:p>
        </w:tc>
        <w:tc>
          <w:tcPr>
            <w:tcW w:w="2083" w:type="dxa"/>
            <w:vMerge w:val="continue"/>
            <w:vAlign w:val="center"/>
          </w:tcPr>
          <w:p>
            <w:pPr>
              <w:pStyle w:val="38"/>
              <w:spacing w:line="500" w:lineRule="exact"/>
              <w:ind w:firstLine="0" w:firstLineChars="0"/>
              <w:jc w:val="cente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35" w:type="dxa"/>
            <w:vMerge w:val="restart"/>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3</w:t>
            </w:r>
          </w:p>
        </w:tc>
        <w:tc>
          <w:tcPr>
            <w:tcW w:w="375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1.实训场所</w:t>
            </w:r>
          </w:p>
        </w:tc>
        <w:tc>
          <w:tcPr>
            <w:tcW w:w="159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35000</w:t>
            </w:r>
          </w:p>
        </w:tc>
        <w:tc>
          <w:tcPr>
            <w:tcW w:w="2083" w:type="dxa"/>
            <w:vMerge w:val="restart"/>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2016-2020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35" w:type="dxa"/>
            <w:vMerge w:val="continue"/>
            <w:vAlign w:val="center"/>
          </w:tcPr>
          <w:p>
            <w:pPr>
              <w:pStyle w:val="38"/>
              <w:spacing w:line="500" w:lineRule="exact"/>
              <w:ind w:firstLine="0" w:firstLineChars="0"/>
              <w:jc w:val="center"/>
              <w:rPr>
                <w:rFonts w:hint="eastAsia" w:ascii="仿宋_GB2312" w:eastAsia="仿宋_GB2312"/>
                <w:sz w:val="28"/>
                <w:szCs w:val="28"/>
              </w:rPr>
            </w:pPr>
          </w:p>
        </w:tc>
        <w:tc>
          <w:tcPr>
            <w:tcW w:w="375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2.会堂、室内运动场</w:t>
            </w:r>
          </w:p>
        </w:tc>
        <w:tc>
          <w:tcPr>
            <w:tcW w:w="159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15000</w:t>
            </w:r>
          </w:p>
        </w:tc>
        <w:tc>
          <w:tcPr>
            <w:tcW w:w="2083" w:type="dxa"/>
            <w:vMerge w:val="continue"/>
            <w:vAlign w:val="center"/>
          </w:tcPr>
          <w:p>
            <w:pPr>
              <w:pStyle w:val="38"/>
              <w:spacing w:line="500" w:lineRule="exact"/>
              <w:ind w:firstLine="0" w:firstLineChars="0"/>
              <w:jc w:val="cente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835"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4</w:t>
            </w:r>
          </w:p>
        </w:tc>
        <w:tc>
          <w:tcPr>
            <w:tcW w:w="375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新建办公大楼</w:t>
            </w:r>
          </w:p>
        </w:tc>
        <w:tc>
          <w:tcPr>
            <w:tcW w:w="1590"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5000</w:t>
            </w:r>
          </w:p>
        </w:tc>
        <w:tc>
          <w:tcPr>
            <w:tcW w:w="2083"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2020</w:t>
            </w:r>
          </w:p>
        </w:tc>
      </w:tr>
    </w:tbl>
    <w:p>
      <w:pPr>
        <w:tabs>
          <w:tab w:val="left" w:pos="360"/>
        </w:tabs>
        <w:spacing w:line="600" w:lineRule="exact"/>
        <w:ind w:firstLine="157" w:firstLineChars="49"/>
        <w:rPr>
          <w:rFonts w:hint="eastAsia" w:ascii="仿宋_GB2312" w:eastAsia="仿宋_GB2312"/>
          <w:b/>
          <w:sz w:val="32"/>
          <w:szCs w:val="32"/>
        </w:rPr>
      </w:pPr>
      <w:r>
        <w:rPr>
          <w:rFonts w:hint="eastAsia" w:ascii="仿宋_GB2312" w:eastAsia="仿宋_GB2312"/>
          <w:b/>
          <w:sz w:val="32"/>
          <w:szCs w:val="32"/>
        </w:rPr>
        <w:t>（2）金园校区</w:t>
      </w:r>
    </w:p>
    <w:tbl>
      <w:tblPr>
        <w:tblStyle w:val="26"/>
        <w:tblW w:w="95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677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6" w:type="dxa"/>
            <w:vAlign w:val="top"/>
          </w:tcPr>
          <w:p>
            <w:pPr>
              <w:spacing w:line="500" w:lineRule="exact"/>
              <w:jc w:val="center"/>
              <w:rPr>
                <w:rFonts w:hint="eastAsia" w:ascii="仿宋_GB2312" w:eastAsia="仿宋_GB2312"/>
                <w:b/>
                <w:sz w:val="28"/>
                <w:szCs w:val="28"/>
              </w:rPr>
            </w:pPr>
            <w:r>
              <w:rPr>
                <w:rFonts w:hint="eastAsia" w:ascii="仿宋_GB2312" w:eastAsia="仿宋_GB2312"/>
                <w:b/>
                <w:sz w:val="28"/>
                <w:szCs w:val="28"/>
              </w:rPr>
              <w:t>序号</w:t>
            </w:r>
          </w:p>
        </w:tc>
        <w:tc>
          <w:tcPr>
            <w:tcW w:w="6775" w:type="dxa"/>
            <w:vAlign w:val="top"/>
          </w:tcPr>
          <w:p>
            <w:pPr>
              <w:spacing w:line="500" w:lineRule="exact"/>
              <w:jc w:val="center"/>
              <w:rPr>
                <w:rFonts w:hint="eastAsia" w:ascii="仿宋_GB2312" w:eastAsia="仿宋_GB2312"/>
                <w:b/>
                <w:sz w:val="28"/>
                <w:szCs w:val="28"/>
              </w:rPr>
            </w:pPr>
            <w:r>
              <w:rPr>
                <w:rFonts w:hint="eastAsia" w:ascii="仿宋_GB2312" w:eastAsia="仿宋_GB2312"/>
                <w:b/>
                <w:sz w:val="28"/>
                <w:szCs w:val="28"/>
              </w:rPr>
              <w:t>项    目</w:t>
            </w:r>
          </w:p>
        </w:tc>
        <w:tc>
          <w:tcPr>
            <w:tcW w:w="1980" w:type="dxa"/>
            <w:vAlign w:val="top"/>
          </w:tcPr>
          <w:p>
            <w:pPr>
              <w:spacing w:line="500" w:lineRule="exact"/>
              <w:jc w:val="center"/>
              <w:rPr>
                <w:rFonts w:hint="eastAsia" w:ascii="仿宋_GB2312" w:eastAsia="仿宋_GB2312"/>
                <w:b/>
                <w:sz w:val="28"/>
                <w:szCs w:val="28"/>
              </w:rPr>
            </w:pPr>
            <w:r>
              <w:rPr>
                <w:rFonts w:hint="eastAsia" w:ascii="仿宋_GB2312" w:eastAsia="仿宋_GB2312"/>
                <w:b/>
                <w:sz w:val="28"/>
                <w:szCs w:val="28"/>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1</w:t>
            </w:r>
          </w:p>
        </w:tc>
        <w:tc>
          <w:tcPr>
            <w:tcW w:w="6775" w:type="dxa"/>
            <w:vAlign w:val="top"/>
          </w:tcPr>
          <w:p>
            <w:pPr>
              <w:pStyle w:val="38"/>
              <w:spacing w:line="500" w:lineRule="exact"/>
              <w:ind w:firstLine="0" w:firstLineChars="0"/>
              <w:rPr>
                <w:rFonts w:hint="eastAsia" w:ascii="仿宋_GB2312" w:eastAsia="仿宋_GB2312" w:cs="Times New Roman"/>
                <w:sz w:val="28"/>
                <w:szCs w:val="28"/>
              </w:rPr>
            </w:pPr>
            <w:r>
              <w:rPr>
                <w:rFonts w:hint="eastAsia" w:ascii="仿宋_GB2312" w:eastAsia="仿宋_GB2312"/>
                <w:sz w:val="28"/>
                <w:szCs w:val="28"/>
              </w:rPr>
              <w:t>①校区门房修缮</w:t>
            </w:r>
          </w:p>
          <w:p>
            <w:pPr>
              <w:pStyle w:val="38"/>
              <w:spacing w:line="500" w:lineRule="exact"/>
              <w:ind w:firstLine="0" w:firstLineChars="0"/>
              <w:rPr>
                <w:rFonts w:hint="eastAsia" w:ascii="仿宋_GB2312" w:eastAsia="仿宋_GB2312" w:cs="Times New Roman"/>
                <w:sz w:val="28"/>
                <w:szCs w:val="28"/>
              </w:rPr>
            </w:pPr>
            <w:r>
              <w:rPr>
                <w:rFonts w:hint="eastAsia" w:ascii="仿宋_GB2312" w:eastAsia="仿宋_GB2312"/>
                <w:sz w:val="28"/>
                <w:szCs w:val="28"/>
              </w:rPr>
              <w:t>②学生宿舍AB幢后阳台门更换。</w:t>
            </w:r>
          </w:p>
          <w:p>
            <w:pPr>
              <w:pStyle w:val="38"/>
              <w:spacing w:line="500" w:lineRule="exact"/>
              <w:ind w:firstLine="0" w:firstLineChars="0"/>
              <w:rPr>
                <w:rFonts w:hint="eastAsia" w:ascii="仿宋_GB2312" w:eastAsia="仿宋_GB2312"/>
                <w:spacing w:val="-8"/>
                <w:w w:val="95"/>
                <w:sz w:val="28"/>
                <w:szCs w:val="28"/>
              </w:rPr>
            </w:pPr>
            <w:r>
              <w:rPr>
                <w:rFonts w:hint="eastAsia" w:ascii="仿宋_GB2312" w:eastAsia="仿宋_GB2312"/>
                <w:spacing w:val="-8"/>
                <w:w w:val="95"/>
                <w:sz w:val="28"/>
                <w:szCs w:val="28"/>
              </w:rPr>
              <w:t>③校区所有下水道口、学生宿舍排污管道、化粪池清理。</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④校区正门门房的警务室建设。</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⑤原幼师大礼堂改造。</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⑥校区食堂改造修缮。</w:t>
            </w:r>
          </w:p>
        </w:tc>
        <w:tc>
          <w:tcPr>
            <w:tcW w:w="1980"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0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2</w:t>
            </w:r>
          </w:p>
        </w:tc>
        <w:tc>
          <w:tcPr>
            <w:tcW w:w="6775" w:type="dxa"/>
            <w:vAlign w:val="top"/>
          </w:tcPr>
          <w:p>
            <w:pPr>
              <w:pStyle w:val="38"/>
              <w:spacing w:line="500" w:lineRule="exact"/>
              <w:ind w:firstLine="0" w:firstLineChars="0"/>
              <w:rPr>
                <w:rFonts w:hint="eastAsia" w:ascii="仿宋_GB2312" w:eastAsia="仿宋_GB2312" w:cs="Times New Roman"/>
                <w:sz w:val="28"/>
                <w:szCs w:val="28"/>
              </w:rPr>
            </w:pPr>
            <w:r>
              <w:rPr>
                <w:rFonts w:hint="eastAsia" w:ascii="仿宋_GB2312" w:eastAsia="仿宋_GB2312"/>
                <w:sz w:val="28"/>
                <w:szCs w:val="28"/>
              </w:rPr>
              <w:t>①完成二个校门口修缮。</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②学生宿舍综合楼安装空调的电路线路及空调安装。</w:t>
            </w:r>
          </w:p>
          <w:p>
            <w:pPr>
              <w:pStyle w:val="38"/>
              <w:spacing w:line="500" w:lineRule="exact"/>
              <w:ind w:firstLine="0" w:firstLineChars="0"/>
              <w:rPr>
                <w:rFonts w:hint="eastAsia" w:ascii="仿宋_GB2312" w:eastAsia="仿宋_GB2312"/>
                <w:bCs/>
                <w:sz w:val="28"/>
                <w:szCs w:val="28"/>
              </w:rPr>
            </w:pPr>
            <w:r>
              <w:rPr>
                <w:rFonts w:hint="eastAsia" w:ascii="仿宋_GB2312" w:eastAsia="仿宋_GB2312"/>
                <w:sz w:val="28"/>
                <w:szCs w:val="28"/>
              </w:rPr>
              <w:t>③</w:t>
            </w:r>
            <w:r>
              <w:rPr>
                <w:rFonts w:hint="eastAsia" w:ascii="仿宋_GB2312" w:eastAsia="仿宋_GB2312"/>
                <w:bCs/>
                <w:sz w:val="28"/>
                <w:szCs w:val="28"/>
              </w:rPr>
              <w:t>自然科学系教学楼的全面整修。</w:t>
            </w:r>
          </w:p>
          <w:p>
            <w:pPr>
              <w:pStyle w:val="38"/>
              <w:spacing w:line="500" w:lineRule="exact"/>
              <w:ind w:firstLine="0" w:firstLineChars="0"/>
              <w:rPr>
                <w:rFonts w:hint="eastAsia" w:ascii="仿宋_GB2312" w:eastAsia="仿宋_GB2312"/>
                <w:bCs/>
                <w:sz w:val="28"/>
                <w:szCs w:val="28"/>
              </w:rPr>
            </w:pPr>
            <w:r>
              <w:rPr>
                <w:rFonts w:hint="eastAsia" w:ascii="仿宋_GB2312" w:eastAsia="仿宋_GB2312"/>
                <w:sz w:val="28"/>
                <w:szCs w:val="28"/>
              </w:rPr>
              <w:t>④</w:t>
            </w:r>
            <w:r>
              <w:rPr>
                <w:rFonts w:hint="eastAsia" w:ascii="仿宋_GB2312" w:eastAsia="仿宋_GB2312"/>
                <w:bCs/>
                <w:sz w:val="28"/>
                <w:szCs w:val="28"/>
              </w:rPr>
              <w:t>实验楼一、二楼的整修。</w:t>
            </w:r>
          </w:p>
          <w:p>
            <w:pPr>
              <w:pStyle w:val="38"/>
              <w:spacing w:line="500" w:lineRule="exact"/>
              <w:ind w:firstLine="0" w:firstLineChars="0"/>
              <w:rPr>
                <w:rFonts w:hint="eastAsia" w:ascii="仿宋_GB2312" w:eastAsia="仿宋_GB2312"/>
                <w:bCs/>
                <w:sz w:val="28"/>
                <w:szCs w:val="28"/>
              </w:rPr>
            </w:pPr>
            <w:r>
              <w:rPr>
                <w:rFonts w:hint="eastAsia" w:ascii="仿宋_GB2312" w:eastAsia="仿宋_GB2312"/>
                <w:sz w:val="28"/>
                <w:szCs w:val="28"/>
              </w:rPr>
              <w:t>⑤</w:t>
            </w:r>
            <w:r>
              <w:rPr>
                <w:rFonts w:hint="eastAsia" w:ascii="仿宋_GB2312" w:eastAsia="仿宋_GB2312"/>
                <w:bCs/>
                <w:sz w:val="28"/>
                <w:szCs w:val="28"/>
              </w:rPr>
              <w:t>学生宿舍学员楼整修</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⑥校园内所有公共场所的路灯改造。</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⑦完成校园内所有校道改造。</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⑧校区二个大门的电动伸缩门更换及门禁道闸建设。</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⑨加固或重建校区围墙。</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⑩校区东操场跑道中间空场的绿化建设。</w:t>
            </w:r>
          </w:p>
          <w:p>
            <w:pPr>
              <w:pStyle w:val="38"/>
              <w:spacing w:line="500" w:lineRule="exact"/>
              <w:ind w:firstLine="0" w:firstLineChars="0"/>
              <w:rPr>
                <w:rFonts w:hint="eastAsia" w:ascii="仿宋_GB2312" w:eastAsia="仿宋_GB2312"/>
                <w:sz w:val="28"/>
                <w:szCs w:val="28"/>
              </w:rPr>
            </w:pPr>
            <w:r>
              <w:rPr>
                <w:rFonts w:hint="eastAsia" w:ascii="MS Mincho" w:hAnsi="MS Mincho" w:eastAsia="MS Mincho" w:cs="MS Mincho"/>
                <w:sz w:val="28"/>
                <w:szCs w:val="28"/>
              </w:rPr>
              <w:t>⑪</w:t>
            </w:r>
            <w:r>
              <w:rPr>
                <w:rFonts w:hint="eastAsia" w:ascii="仿宋_GB2312" w:eastAsia="仿宋_GB2312"/>
                <w:sz w:val="28"/>
                <w:szCs w:val="28"/>
              </w:rPr>
              <w:t>学生宿舍A、B幢全面整修。</w:t>
            </w:r>
          </w:p>
          <w:p>
            <w:pPr>
              <w:pStyle w:val="38"/>
              <w:spacing w:line="500" w:lineRule="exact"/>
              <w:ind w:firstLine="0" w:firstLineChars="0"/>
              <w:rPr>
                <w:rFonts w:hint="eastAsia" w:ascii="仿宋_GB2312" w:eastAsia="仿宋_GB2312"/>
                <w:sz w:val="28"/>
                <w:szCs w:val="28"/>
              </w:rPr>
            </w:pPr>
            <w:r>
              <w:rPr>
                <w:rFonts w:hint="eastAsia" w:ascii="MS Mincho" w:hAnsi="MS Mincho" w:eastAsia="MS Mincho" w:cs="MS Mincho"/>
                <w:sz w:val="28"/>
                <w:szCs w:val="28"/>
              </w:rPr>
              <w:t>⑫</w:t>
            </w:r>
            <w:r>
              <w:rPr>
                <w:rFonts w:hint="eastAsia" w:ascii="仿宋_GB2312" w:eastAsia="仿宋_GB2312"/>
                <w:sz w:val="28"/>
                <w:szCs w:val="28"/>
              </w:rPr>
              <w:t>学生宿舍热水供应系统改造。</w:t>
            </w:r>
          </w:p>
        </w:tc>
        <w:tc>
          <w:tcPr>
            <w:tcW w:w="1980"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80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3</w:t>
            </w:r>
          </w:p>
        </w:tc>
        <w:tc>
          <w:tcPr>
            <w:tcW w:w="6775" w:type="dxa"/>
            <w:vAlign w:val="top"/>
          </w:tcPr>
          <w:p>
            <w:pPr>
              <w:pStyle w:val="38"/>
              <w:spacing w:line="500" w:lineRule="exact"/>
              <w:ind w:firstLine="0" w:firstLineChars="0"/>
              <w:rPr>
                <w:rFonts w:hint="eastAsia" w:ascii="仿宋_GB2312" w:eastAsia="仿宋_GB2312"/>
                <w:spacing w:val="-8"/>
                <w:w w:val="95"/>
                <w:sz w:val="28"/>
                <w:szCs w:val="28"/>
              </w:rPr>
            </w:pPr>
            <w:r>
              <w:rPr>
                <w:rFonts w:hint="eastAsia" w:ascii="仿宋_GB2312" w:eastAsia="仿宋_GB2312"/>
                <w:spacing w:val="-8"/>
                <w:w w:val="95"/>
                <w:sz w:val="28"/>
                <w:szCs w:val="28"/>
              </w:rPr>
              <w:t>①函授楼整修和电路线路的改造、空调线路改造及空调安装。</w:t>
            </w:r>
          </w:p>
          <w:p>
            <w:pPr>
              <w:pStyle w:val="38"/>
              <w:spacing w:line="500" w:lineRule="exact"/>
              <w:ind w:firstLine="0" w:firstLineChars="0"/>
              <w:rPr>
                <w:rFonts w:hint="eastAsia" w:ascii="仿宋_GB2312" w:eastAsia="仿宋_GB2312"/>
                <w:sz w:val="28"/>
                <w:szCs w:val="28"/>
              </w:rPr>
            </w:pPr>
            <w:r>
              <w:rPr>
                <w:rFonts w:hint="eastAsia" w:ascii="仿宋_GB2312" w:eastAsia="仿宋_GB2312"/>
                <w:spacing w:val="-8"/>
                <w:w w:val="95"/>
                <w:sz w:val="28"/>
                <w:szCs w:val="28"/>
              </w:rPr>
              <w:t>②学前A、B幢、学员楼学生宿舍空调线路改造及空调安装</w:t>
            </w:r>
            <w:r>
              <w:rPr>
                <w:rFonts w:hint="eastAsia" w:ascii="仿宋_GB2312" w:eastAsia="仿宋_GB2312"/>
                <w:sz w:val="28"/>
                <w:szCs w:val="28"/>
              </w:rPr>
              <w:t>。</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③实验楼（含图书楼）的二楼以上、学前教学楼的二楼以上、综合楼的二楼以上楼层全面修缮。</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④校园文化长栏和宣传栏的建设与改造。</w:t>
            </w:r>
          </w:p>
        </w:tc>
        <w:tc>
          <w:tcPr>
            <w:tcW w:w="1980"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80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4</w:t>
            </w:r>
          </w:p>
        </w:tc>
        <w:tc>
          <w:tcPr>
            <w:tcW w:w="6775"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①风雨操场学生活动舞台的电路线路、灯光、音响的完善及配置。</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 xml:space="preserve">②校区各个单车、摩托车停车棚的整修建设。   </w:t>
            </w:r>
          </w:p>
        </w:tc>
        <w:tc>
          <w:tcPr>
            <w:tcW w:w="1980"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5</w:t>
            </w:r>
          </w:p>
        </w:tc>
        <w:tc>
          <w:tcPr>
            <w:tcW w:w="6775" w:type="dxa"/>
            <w:vAlign w:val="top"/>
          </w:tcPr>
          <w:p>
            <w:pPr>
              <w:pStyle w:val="38"/>
              <w:numPr>
                <w:ilvl w:val="0"/>
                <w:numId w:val="1"/>
              </w:numPr>
              <w:spacing w:line="500" w:lineRule="exact"/>
              <w:ind w:firstLineChars="0"/>
              <w:rPr>
                <w:rFonts w:hint="eastAsia" w:ascii="仿宋_GB2312" w:eastAsia="仿宋_GB2312"/>
                <w:sz w:val="28"/>
                <w:szCs w:val="28"/>
              </w:rPr>
            </w:pPr>
            <w:r>
              <w:rPr>
                <w:rFonts w:hint="eastAsia" w:ascii="仿宋_GB2312" w:eastAsia="仿宋_GB2312"/>
                <w:sz w:val="28"/>
                <w:szCs w:val="28"/>
              </w:rPr>
              <w:t>校区各幢楼天台至地面的排水管老化更换。</w:t>
            </w:r>
          </w:p>
          <w:p>
            <w:pPr>
              <w:pStyle w:val="38"/>
              <w:numPr>
                <w:ilvl w:val="0"/>
                <w:numId w:val="1"/>
              </w:numPr>
              <w:spacing w:line="500" w:lineRule="exact"/>
              <w:ind w:firstLineChars="0"/>
              <w:rPr>
                <w:rFonts w:hint="eastAsia" w:ascii="仿宋_GB2312" w:eastAsia="仿宋_GB2312"/>
                <w:sz w:val="28"/>
                <w:szCs w:val="28"/>
              </w:rPr>
            </w:pPr>
            <w:r>
              <w:rPr>
                <w:rFonts w:hint="eastAsia" w:ascii="仿宋_GB2312" w:eastAsia="仿宋_GB2312"/>
                <w:sz w:val="28"/>
                <w:szCs w:val="28"/>
              </w:rPr>
              <w:t xml:space="preserve">校区整体的校园文化氛围建设和补充。 </w:t>
            </w:r>
          </w:p>
        </w:tc>
        <w:tc>
          <w:tcPr>
            <w:tcW w:w="1980"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2020</w:t>
            </w:r>
          </w:p>
        </w:tc>
      </w:tr>
    </w:tbl>
    <w:p>
      <w:pPr>
        <w:tabs>
          <w:tab w:val="left" w:pos="360"/>
        </w:tabs>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（3）东墩校区</w:t>
      </w:r>
    </w:p>
    <w:tbl>
      <w:tblPr>
        <w:tblStyle w:val="26"/>
        <w:tblW w:w="94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6660"/>
        <w:gridCol w:w="1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jc w:val="center"/>
        </w:trPr>
        <w:tc>
          <w:tcPr>
            <w:tcW w:w="809" w:type="dxa"/>
            <w:vAlign w:val="center"/>
          </w:tcPr>
          <w:p>
            <w:pPr>
              <w:jc w:val="center"/>
              <w:rPr>
                <w:rFonts w:hint="eastAsia" w:ascii="仿宋_GB2312" w:eastAsia="仿宋_GB2312"/>
                <w:b/>
                <w:sz w:val="28"/>
                <w:szCs w:val="28"/>
              </w:rPr>
            </w:pPr>
            <w:r>
              <w:rPr>
                <w:rFonts w:hint="eastAsia" w:ascii="仿宋_GB2312" w:eastAsia="仿宋_GB2312"/>
                <w:b/>
                <w:sz w:val="28"/>
                <w:szCs w:val="28"/>
              </w:rPr>
              <w:t>序号</w:t>
            </w:r>
          </w:p>
        </w:tc>
        <w:tc>
          <w:tcPr>
            <w:tcW w:w="6660" w:type="dxa"/>
            <w:vAlign w:val="center"/>
          </w:tcPr>
          <w:p>
            <w:pPr>
              <w:jc w:val="center"/>
              <w:rPr>
                <w:rFonts w:hint="eastAsia" w:ascii="仿宋_GB2312" w:eastAsia="仿宋_GB2312"/>
                <w:b/>
                <w:sz w:val="28"/>
                <w:szCs w:val="28"/>
              </w:rPr>
            </w:pPr>
            <w:r>
              <w:rPr>
                <w:rFonts w:hint="eastAsia" w:ascii="仿宋_GB2312" w:eastAsia="仿宋_GB2312"/>
                <w:b/>
                <w:sz w:val="28"/>
                <w:szCs w:val="28"/>
              </w:rPr>
              <w:t>项    目</w:t>
            </w:r>
          </w:p>
        </w:tc>
        <w:tc>
          <w:tcPr>
            <w:tcW w:w="1986" w:type="dxa"/>
            <w:vAlign w:val="center"/>
          </w:tcPr>
          <w:p>
            <w:pPr>
              <w:jc w:val="center"/>
              <w:rPr>
                <w:rFonts w:hint="eastAsia" w:ascii="仿宋_GB2312" w:eastAsia="仿宋_GB2312"/>
                <w:b/>
                <w:sz w:val="28"/>
                <w:szCs w:val="28"/>
              </w:rPr>
            </w:pPr>
            <w:r>
              <w:rPr>
                <w:rFonts w:hint="eastAsia" w:ascii="仿宋_GB2312" w:eastAsia="仿宋_GB2312"/>
                <w:b/>
                <w:sz w:val="28"/>
                <w:szCs w:val="28"/>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9"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1</w:t>
            </w:r>
          </w:p>
        </w:tc>
        <w:tc>
          <w:tcPr>
            <w:tcW w:w="666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①三个篮球场油丙烯酸漆。</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②校园内绿化达到30%覆盖率。</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③露天舞台和舞台前面地埕铺水泥地板建设。</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④制作不锈钢宣传栏。</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⑤学生宿舍区域的维修改造。</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⑥校道、校园地埕改造；</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⑦田径场周边平房和体育器材楼及1号楼、2号楼外墙贴马赛克、木窗改为铝合金窗；</w:t>
            </w:r>
          </w:p>
          <w:p>
            <w:pPr>
              <w:pStyle w:val="38"/>
              <w:spacing w:line="500" w:lineRule="exact"/>
              <w:ind w:firstLine="0" w:firstLineChars="0"/>
              <w:rPr>
                <w:rFonts w:hint="eastAsia" w:ascii="仿宋_GB2312" w:eastAsia="仿宋_GB2312"/>
                <w:spacing w:val="-8"/>
                <w:w w:val="88"/>
                <w:sz w:val="28"/>
                <w:szCs w:val="28"/>
              </w:rPr>
            </w:pPr>
            <w:r>
              <w:rPr>
                <w:rFonts w:hint="eastAsia" w:ascii="仿宋_GB2312" w:eastAsia="仿宋_GB2312"/>
                <w:spacing w:val="-8"/>
                <w:w w:val="88"/>
                <w:sz w:val="28"/>
                <w:szCs w:val="28"/>
              </w:rPr>
              <w:t xml:space="preserve">⑧更换教学场所（教室、阶梯教室、电脑室、多媒体教室）窗帘； </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⑨食堂水电、天花、墙体装修改造；</w:t>
            </w:r>
          </w:p>
        </w:tc>
        <w:tc>
          <w:tcPr>
            <w:tcW w:w="1986" w:type="dxa"/>
            <w:vAlign w:val="center"/>
          </w:tcPr>
          <w:p>
            <w:pPr>
              <w:spacing w:line="600" w:lineRule="exact"/>
              <w:jc w:val="center"/>
              <w:rPr>
                <w:rFonts w:hint="eastAsia" w:ascii="仿宋_GB2312" w:eastAsia="仿宋_GB2312"/>
                <w:sz w:val="28"/>
                <w:szCs w:val="28"/>
              </w:rPr>
            </w:pPr>
            <w:r>
              <w:rPr>
                <w:rFonts w:hint="eastAsia" w:ascii="仿宋_GB2312" w:hAnsi="宋体" w:eastAsia="仿宋_GB2312"/>
                <w:bCs/>
                <w:sz w:val="28"/>
                <w:szCs w:val="28"/>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09"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2</w:t>
            </w:r>
          </w:p>
        </w:tc>
        <w:tc>
          <w:tcPr>
            <w:tcW w:w="666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①4号楼（原实验楼2层至6层）改造为学生宿舍；</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②学生宿舍D、E栋安装空调及电路改造；</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③IC卡一卡通改造；</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④学生宿舍热水供应系统改造。</w:t>
            </w:r>
          </w:p>
        </w:tc>
        <w:tc>
          <w:tcPr>
            <w:tcW w:w="1986"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809"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3</w:t>
            </w:r>
          </w:p>
        </w:tc>
        <w:tc>
          <w:tcPr>
            <w:tcW w:w="666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①学生宿舍A、B、C栋安装空调及线路改造。</w:t>
            </w:r>
          </w:p>
          <w:p>
            <w:pPr>
              <w:pStyle w:val="38"/>
              <w:spacing w:line="500" w:lineRule="exact"/>
              <w:ind w:firstLine="0" w:firstLineChars="0"/>
              <w:rPr>
                <w:rFonts w:hint="eastAsia" w:ascii="仿宋_GB2312" w:eastAsia="仿宋_GB2312"/>
                <w:spacing w:val="-8"/>
                <w:w w:val="88"/>
                <w:sz w:val="28"/>
                <w:szCs w:val="28"/>
              </w:rPr>
            </w:pPr>
            <w:r>
              <w:rPr>
                <w:rFonts w:hint="eastAsia" w:ascii="仿宋_GB2312" w:eastAsia="仿宋_GB2312"/>
                <w:sz w:val="28"/>
                <w:szCs w:val="28"/>
              </w:rPr>
              <w:t>②</w:t>
            </w:r>
            <w:r>
              <w:rPr>
                <w:rFonts w:hint="eastAsia" w:ascii="仿宋_GB2312" w:eastAsia="仿宋_GB2312"/>
                <w:spacing w:val="-8"/>
                <w:w w:val="88"/>
                <w:sz w:val="28"/>
                <w:szCs w:val="28"/>
              </w:rPr>
              <w:t>D栋学生宿舍木窗更换铝合金窗，天花、墙体粉刷乳胶漆。</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③教学楼进行重新粉刷乳胶漆。</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④门房保安室翻新改造；水塔油外墙漆。</w:t>
            </w:r>
          </w:p>
        </w:tc>
        <w:tc>
          <w:tcPr>
            <w:tcW w:w="1986"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809"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4</w:t>
            </w:r>
          </w:p>
        </w:tc>
        <w:tc>
          <w:tcPr>
            <w:tcW w:w="666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①图书馆楼下改建为学生阅览室</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②E栋学生宿舍楼下改建为风雨操场；</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 xml:space="preserve">③改造、完善校园广播、时铃系统； </w:t>
            </w:r>
          </w:p>
        </w:tc>
        <w:tc>
          <w:tcPr>
            <w:tcW w:w="1986"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9"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5</w:t>
            </w:r>
          </w:p>
        </w:tc>
        <w:tc>
          <w:tcPr>
            <w:tcW w:w="6660"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①改造1号楼、2号楼卫生间。</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②校园路灯改造升级。</w:t>
            </w:r>
          </w:p>
        </w:tc>
        <w:tc>
          <w:tcPr>
            <w:tcW w:w="1986" w:type="dxa"/>
            <w:vAlign w:val="center"/>
          </w:tcPr>
          <w:p>
            <w:pPr>
              <w:pStyle w:val="38"/>
              <w:spacing w:line="600" w:lineRule="exact"/>
              <w:ind w:firstLine="0" w:firstLineChars="0"/>
              <w:jc w:val="center"/>
              <w:rPr>
                <w:rFonts w:hint="eastAsia" w:ascii="仿宋_GB2312" w:eastAsia="仿宋_GB2312"/>
                <w:sz w:val="28"/>
                <w:szCs w:val="28"/>
              </w:rPr>
            </w:pPr>
            <w:r>
              <w:rPr>
                <w:rFonts w:hint="eastAsia" w:ascii="仿宋_GB2312" w:eastAsia="仿宋_GB2312"/>
                <w:sz w:val="28"/>
                <w:szCs w:val="28"/>
              </w:rPr>
              <w:t>2020</w:t>
            </w:r>
          </w:p>
        </w:tc>
      </w:tr>
    </w:tbl>
    <w:p>
      <w:pPr>
        <w:tabs>
          <w:tab w:val="left" w:pos="360"/>
        </w:tabs>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（4）新津校区</w:t>
      </w:r>
    </w:p>
    <w:tbl>
      <w:tblPr>
        <w:tblStyle w:val="26"/>
        <w:tblW w:w="92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6396"/>
        <w:gridCol w:w="1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6" w:type="dxa"/>
            <w:vAlign w:val="top"/>
          </w:tcPr>
          <w:p>
            <w:pPr>
              <w:spacing w:line="500" w:lineRule="exact"/>
              <w:jc w:val="center"/>
              <w:rPr>
                <w:rFonts w:hint="eastAsia" w:ascii="仿宋_GB2312" w:eastAsia="仿宋_GB2312"/>
                <w:b/>
                <w:sz w:val="28"/>
                <w:szCs w:val="28"/>
              </w:rPr>
            </w:pPr>
            <w:r>
              <w:rPr>
                <w:rFonts w:hint="eastAsia" w:ascii="仿宋_GB2312" w:eastAsia="仿宋_GB2312"/>
                <w:b/>
                <w:sz w:val="28"/>
                <w:szCs w:val="28"/>
              </w:rPr>
              <w:t>序号</w:t>
            </w:r>
          </w:p>
        </w:tc>
        <w:tc>
          <w:tcPr>
            <w:tcW w:w="6396" w:type="dxa"/>
            <w:vAlign w:val="top"/>
          </w:tcPr>
          <w:p>
            <w:pPr>
              <w:spacing w:line="500" w:lineRule="exact"/>
              <w:jc w:val="center"/>
              <w:rPr>
                <w:rFonts w:hint="eastAsia" w:ascii="仿宋_GB2312" w:eastAsia="仿宋_GB2312"/>
                <w:b/>
                <w:sz w:val="28"/>
                <w:szCs w:val="28"/>
              </w:rPr>
            </w:pPr>
            <w:r>
              <w:rPr>
                <w:rFonts w:hint="eastAsia" w:ascii="仿宋_GB2312" w:eastAsia="仿宋_GB2312"/>
                <w:b/>
                <w:sz w:val="28"/>
                <w:szCs w:val="28"/>
              </w:rPr>
              <w:t>项    目</w:t>
            </w:r>
          </w:p>
        </w:tc>
        <w:tc>
          <w:tcPr>
            <w:tcW w:w="1945" w:type="dxa"/>
            <w:vAlign w:val="top"/>
          </w:tcPr>
          <w:p>
            <w:pPr>
              <w:spacing w:line="500" w:lineRule="exact"/>
              <w:rPr>
                <w:rFonts w:hint="eastAsia" w:ascii="仿宋_GB2312" w:eastAsia="仿宋_GB2312"/>
                <w:b/>
                <w:sz w:val="28"/>
                <w:szCs w:val="28"/>
              </w:rPr>
            </w:pPr>
            <w:r>
              <w:rPr>
                <w:rFonts w:hint="eastAsia" w:ascii="仿宋_GB2312" w:eastAsia="仿宋_GB2312"/>
                <w:b/>
                <w:sz w:val="28"/>
                <w:szCs w:val="28"/>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6"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1</w:t>
            </w:r>
          </w:p>
        </w:tc>
        <w:tc>
          <w:tcPr>
            <w:tcW w:w="639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①改造校区电房至3号楼架空电线；</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②对3、4、5、6号楼旧校舍进行安全检测、加固，宿舍内部进行全面修缮；</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③修缮校门南侧教师停车场。</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④配置2号教学楼窗帘；</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⑤修缮美化2号教学楼外墙；</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⑥清通下水道及整修2、3号楼之间校道；</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⑦修缮3号楼2楼多功能厅。</w:t>
            </w:r>
          </w:p>
          <w:p>
            <w:pPr>
              <w:pStyle w:val="38"/>
              <w:spacing w:line="500" w:lineRule="exact"/>
              <w:ind w:firstLine="0" w:firstLineChars="0"/>
              <w:rPr>
                <w:rFonts w:hint="eastAsia" w:ascii="仿宋_GB2312" w:eastAsia="仿宋_GB2312"/>
                <w:sz w:val="28"/>
                <w:szCs w:val="28"/>
              </w:rPr>
            </w:pPr>
            <w:r>
              <w:rPr>
                <w:rFonts w:hint="eastAsia" w:ascii="仿宋_GB2312" w:eastAsia="仿宋_GB2312"/>
                <w:spacing w:val="-8"/>
                <w:w w:val="88"/>
                <w:sz w:val="28"/>
                <w:szCs w:val="28"/>
              </w:rPr>
              <w:t>⑧</w:t>
            </w:r>
            <w:r>
              <w:rPr>
                <w:rFonts w:hint="eastAsia" w:ascii="仿宋_GB2312" w:eastAsia="仿宋_GB2312"/>
                <w:sz w:val="28"/>
                <w:szCs w:val="28"/>
              </w:rPr>
              <w:t>教学楼南面外墙的修缮美化</w:t>
            </w:r>
          </w:p>
        </w:tc>
        <w:tc>
          <w:tcPr>
            <w:tcW w:w="1945" w:type="dxa"/>
            <w:vAlign w:val="center"/>
          </w:tcPr>
          <w:p>
            <w:pPr>
              <w:widowControl/>
              <w:spacing w:line="500" w:lineRule="exact"/>
              <w:ind w:firstLine="548" w:firstLineChars="196"/>
              <w:rPr>
                <w:rFonts w:hint="eastAsia" w:ascii="仿宋_GB2312" w:hAnsi="宋体" w:eastAsia="仿宋_GB2312"/>
                <w:bCs/>
                <w:sz w:val="28"/>
                <w:szCs w:val="28"/>
              </w:rPr>
            </w:pPr>
            <w:r>
              <w:rPr>
                <w:rFonts w:hint="eastAsia" w:ascii="仿宋_GB2312" w:hAnsi="宋体" w:eastAsia="仿宋_GB2312"/>
                <w:bCs/>
                <w:sz w:val="28"/>
                <w:szCs w:val="28"/>
              </w:rPr>
              <w:t>2016</w:t>
            </w:r>
          </w:p>
          <w:p>
            <w:pPr>
              <w:spacing w:line="500" w:lineRule="exact"/>
              <w:jc w:val="center"/>
              <w:rPr>
                <w:rFonts w:hint="eastAsia"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95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2</w:t>
            </w:r>
          </w:p>
        </w:tc>
        <w:tc>
          <w:tcPr>
            <w:tcW w:w="639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①改建3、6号楼宿舍楼学生宿舍热水供应；</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②改建一号楼二楼为阶梯教室；</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③清通下水道及整修2、6号楼之间校道；</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④改建一号楼6楼图书馆；</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⑤修缮校区体育场所及设施配套；</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⑥完善校区广播站设备，改善内部环境。</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⑦改善原有校区绿化，增添其它绿化美化内容。</w:t>
            </w:r>
          </w:p>
          <w:p>
            <w:pPr>
              <w:pStyle w:val="38"/>
              <w:spacing w:line="500" w:lineRule="exact"/>
              <w:ind w:firstLine="0" w:firstLineChars="0"/>
              <w:rPr>
                <w:rFonts w:hint="eastAsia" w:ascii="仿宋_GB2312" w:eastAsia="仿宋_GB2312"/>
                <w:sz w:val="28"/>
                <w:szCs w:val="28"/>
              </w:rPr>
            </w:pPr>
            <w:r>
              <w:rPr>
                <w:rFonts w:hint="eastAsia" w:ascii="仿宋_GB2312" w:eastAsia="仿宋_GB2312"/>
                <w:spacing w:val="-8"/>
                <w:w w:val="88"/>
                <w:sz w:val="28"/>
                <w:szCs w:val="28"/>
              </w:rPr>
              <w:t>⑧</w:t>
            </w:r>
            <w:r>
              <w:rPr>
                <w:rFonts w:hint="eastAsia" w:ascii="仿宋_GB2312" w:eastAsia="仿宋_GB2312"/>
                <w:sz w:val="28"/>
                <w:szCs w:val="28"/>
              </w:rPr>
              <w:t>学生宿舍空调线路改造及空调配置</w:t>
            </w:r>
          </w:p>
        </w:tc>
        <w:tc>
          <w:tcPr>
            <w:tcW w:w="1945"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95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3</w:t>
            </w:r>
          </w:p>
        </w:tc>
        <w:tc>
          <w:tcPr>
            <w:tcW w:w="639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①教学楼外墙的修缮美化</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②修缮校区北侧围墙。</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③修缮校道及改善校道排水系统。</w:t>
            </w:r>
          </w:p>
        </w:tc>
        <w:tc>
          <w:tcPr>
            <w:tcW w:w="1945"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95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4</w:t>
            </w:r>
          </w:p>
        </w:tc>
        <w:tc>
          <w:tcPr>
            <w:tcW w:w="639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食堂内部修缮</w:t>
            </w:r>
          </w:p>
        </w:tc>
        <w:tc>
          <w:tcPr>
            <w:tcW w:w="1945"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6" w:type="dxa"/>
            <w:vAlign w:val="center"/>
          </w:tcPr>
          <w:p>
            <w:pPr>
              <w:spacing w:line="500" w:lineRule="exact"/>
              <w:jc w:val="center"/>
              <w:rPr>
                <w:rFonts w:hint="eastAsia" w:ascii="仿宋_GB2312" w:eastAsia="仿宋_GB2312"/>
                <w:sz w:val="28"/>
                <w:szCs w:val="28"/>
              </w:rPr>
            </w:pPr>
            <w:r>
              <w:rPr>
                <w:rFonts w:hint="eastAsia" w:ascii="仿宋_GB2312" w:eastAsia="仿宋_GB2312"/>
                <w:sz w:val="28"/>
                <w:szCs w:val="28"/>
              </w:rPr>
              <w:t>5</w:t>
            </w:r>
          </w:p>
        </w:tc>
        <w:tc>
          <w:tcPr>
            <w:tcW w:w="6396" w:type="dxa"/>
            <w:vAlign w:val="top"/>
          </w:tcPr>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①教学楼内部修缮</w:t>
            </w:r>
          </w:p>
          <w:p>
            <w:pPr>
              <w:pStyle w:val="38"/>
              <w:spacing w:line="500" w:lineRule="exact"/>
              <w:ind w:firstLine="0" w:firstLineChars="0"/>
              <w:rPr>
                <w:rFonts w:hint="eastAsia" w:ascii="仿宋_GB2312" w:eastAsia="仿宋_GB2312"/>
                <w:sz w:val="28"/>
                <w:szCs w:val="28"/>
              </w:rPr>
            </w:pPr>
            <w:r>
              <w:rPr>
                <w:rFonts w:hint="eastAsia" w:ascii="仿宋_GB2312" w:eastAsia="仿宋_GB2312"/>
                <w:sz w:val="28"/>
                <w:szCs w:val="28"/>
              </w:rPr>
              <w:t>②办公场所修缮</w:t>
            </w:r>
          </w:p>
        </w:tc>
        <w:tc>
          <w:tcPr>
            <w:tcW w:w="1945" w:type="dxa"/>
            <w:vAlign w:val="center"/>
          </w:tcPr>
          <w:p>
            <w:pPr>
              <w:pStyle w:val="38"/>
              <w:spacing w:line="500" w:lineRule="exact"/>
              <w:ind w:firstLine="0" w:firstLineChars="0"/>
              <w:jc w:val="center"/>
              <w:rPr>
                <w:rFonts w:hint="eastAsia" w:ascii="仿宋_GB2312" w:eastAsia="仿宋_GB2312"/>
                <w:sz w:val="28"/>
                <w:szCs w:val="28"/>
              </w:rPr>
            </w:pPr>
            <w:r>
              <w:rPr>
                <w:rFonts w:hint="eastAsia" w:ascii="仿宋_GB2312" w:eastAsia="仿宋_GB2312"/>
                <w:sz w:val="28"/>
                <w:szCs w:val="28"/>
              </w:rPr>
              <w:t>2020</w:t>
            </w:r>
          </w:p>
        </w:tc>
      </w:tr>
    </w:tbl>
    <w:p>
      <w:pPr>
        <w:tabs>
          <w:tab w:val="left" w:pos="360"/>
        </w:tabs>
        <w:spacing w:line="600" w:lineRule="exact"/>
        <w:ind w:firstLine="640" w:firstLineChars="200"/>
        <w:rPr>
          <w:rFonts w:hint="eastAsia" w:ascii="仿宋_GB2312" w:eastAsia="仿宋_GB2312"/>
          <w:sz w:val="28"/>
          <w:szCs w:val="28"/>
        </w:rPr>
      </w:pPr>
      <w:r>
        <w:rPr>
          <w:rFonts w:hint="eastAsia" w:ascii="仿宋_GB2312" w:eastAsia="仿宋_GB2312"/>
          <w:sz w:val="32"/>
          <w:szCs w:val="32"/>
        </w:rPr>
        <w:t>通过未来五年的规划建设和维修改造，力争十三五期间解决制约学院发展的难题，使学院的教学资源得到进一步优化，布局更加合理，环境更加优美，基础设施更加完善，能基本满足学院发展壮</w:t>
      </w:r>
      <w:r>
        <w:rPr>
          <w:rFonts w:hint="eastAsia" w:ascii="仿宋_GB2312" w:eastAsia="仿宋_GB2312"/>
          <w:sz w:val="28"/>
          <w:szCs w:val="28"/>
        </w:rPr>
        <w:t>大的需要。</w:t>
      </w: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jc w:val="center"/>
        <w:rPr>
          <w:rFonts w:hint="eastAsia" w:ascii="宋体" w:hAnsi="宋体"/>
          <w:b/>
          <w:spacing w:val="-6"/>
          <w:sz w:val="36"/>
          <w:szCs w:val="36"/>
        </w:rPr>
      </w:pPr>
      <w:r>
        <w:rPr>
          <w:rFonts w:hint="eastAsia" w:ascii="宋体" w:hAnsi="宋体"/>
          <w:b/>
          <w:spacing w:val="-6"/>
          <w:sz w:val="36"/>
          <w:szCs w:val="36"/>
        </w:rPr>
        <w:t>汕头职业技术学院“十三五”科技创新与社会服务规划</w:t>
      </w:r>
    </w:p>
    <w:p>
      <w:pPr>
        <w:spacing w:before="312" w:beforeLines="100" w:line="600" w:lineRule="exact"/>
        <w:jc w:val="center"/>
        <w:rPr>
          <w:rFonts w:hint="eastAsia" w:ascii="宋体" w:hAnsi="宋体"/>
          <w:spacing w:val="-6"/>
          <w:sz w:val="36"/>
          <w:szCs w:val="36"/>
        </w:rPr>
      </w:pPr>
      <w:r>
        <w:rPr>
          <w:rFonts w:hint="eastAsia" w:ascii="宋体" w:hAnsi="宋体"/>
          <w:spacing w:val="-6"/>
          <w:sz w:val="36"/>
          <w:szCs w:val="36"/>
        </w:rPr>
        <w:t>（2016-2020年）</w:t>
      </w:r>
    </w:p>
    <w:p>
      <w:pPr>
        <w:spacing w:line="600" w:lineRule="exact"/>
        <w:ind w:firstLine="643" w:firstLineChars="200"/>
        <w:rPr>
          <w:rFonts w:hint="eastAsia" w:ascii="仿宋_GB2312" w:eastAsia="仿宋_GB2312"/>
          <w:b/>
          <w:sz w:val="32"/>
          <w:szCs w:val="32"/>
        </w:rPr>
      </w:pP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 xml:space="preserve"> 一、“十二五”期间发展状况</w:t>
      </w:r>
    </w:p>
    <w:p>
      <w:pPr>
        <w:numPr>
          <w:ilvl w:val="0"/>
          <w:numId w:val="2"/>
        </w:num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主要成就</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十二五”期间，学院围绕“对接地方战略”的目标，注重发挥“应用研发特色”，稳步推进以“创新”为核心的科研建设与改革工作。在规范管理机制的基础上，出台涵盖科研活动、课题管理、经费使用、学风建设、人才激励等各个方面的文件，初步构建科研管理体系。</w:t>
      </w:r>
    </w:p>
    <w:p>
      <w:pPr>
        <w:spacing w:line="600" w:lineRule="exact"/>
        <w:ind w:firstLine="640" w:firstLineChars="200"/>
        <w:rPr>
          <w:rFonts w:hint="eastAsia" w:ascii="仿宋_GB2312" w:eastAsia="仿宋_GB2312" w:cs="宋体"/>
          <w:sz w:val="32"/>
          <w:szCs w:val="32"/>
        </w:rPr>
      </w:pPr>
      <w:r>
        <w:rPr>
          <w:rFonts w:hint="eastAsia" w:ascii="仿宋_GB2312" w:eastAsia="仿宋_GB2312"/>
          <w:sz w:val="32"/>
          <w:szCs w:val="32"/>
        </w:rPr>
        <w:t>2.科研经费总量累计达到207.9万元，</w:t>
      </w:r>
      <w:r>
        <w:rPr>
          <w:rFonts w:hint="eastAsia" w:ascii="仿宋_GB2312" w:hAnsi="宋体" w:eastAsia="仿宋_GB2312" w:cs="宋体"/>
          <w:sz w:val="32"/>
          <w:szCs w:val="32"/>
        </w:rPr>
        <w:t>其中用于院级课题立项经费总数达54.05万，实现加强学院科研力量与课题培育力度的预期目标。省市级及以上的科研立项数目逐年增长，在汕头市社科规划项目中斩获尤多，自2012年起，学院连续三年成为汕头市获得立项和资助经费双第一的高校，形成对接地方经济发展战略的科研特色，充分发挥科研服务地方经济文化建设的功能。经过五年的沉淀与积累，科研工作在2015年取得突破性进展，通过召开学院首次科研工作会议，科研资源得到有效整合，科研定位与方向进一步明确。2015年度学院在市社科规划课题的申报质量创历史新高，在组织申报的17项课题中，共有12项获得立项（11项为一般课题，1项为委托课题），申报成功率高达70%。12项有5项课题获资助，资助经费比例高达41%。11项一般课题占全市立项总数的48%。市科技计划项目增长趋势明显，共获立项数3项，立项比例高达60%，五年累积市级科技计划项目达15项，进一步强化应用研发特色。</w:t>
      </w:r>
    </w:p>
    <w:p>
      <w:pPr>
        <w:spacing w:line="600" w:lineRule="exact"/>
        <w:ind w:firstLine="640" w:firstLineChars="200"/>
        <w:rPr>
          <w:rFonts w:hint="eastAsia" w:ascii="仿宋_GB2312" w:eastAsia="仿宋_GB2312" w:cs="宋体"/>
          <w:sz w:val="32"/>
          <w:szCs w:val="32"/>
        </w:rPr>
      </w:pPr>
      <w:r>
        <w:rPr>
          <w:rFonts w:hint="eastAsia" w:ascii="仿宋_GB2312" w:eastAsia="仿宋_GB2312"/>
          <w:sz w:val="32"/>
          <w:szCs w:val="32"/>
        </w:rPr>
        <w:t>3.科研平台建设步伐加快，技术开发与转化能力得到充实。过去五年间，为促进科研攻关队伍合力发展，学院</w:t>
      </w:r>
      <w:r>
        <w:rPr>
          <w:rFonts w:hint="eastAsia" w:ascii="仿宋_GB2312" w:hAnsi="宋体" w:eastAsia="仿宋_GB2312" w:cs="宋体"/>
          <w:sz w:val="32"/>
          <w:szCs w:val="32"/>
        </w:rPr>
        <w:t>成立了旨在服务地方经济文化的校级科研机构，累计校级科研平台数量达到4个，其中新近成立的数字化技术研究与应用中心和华侨经济文化研究所已纳入学院与汕头市科学技术局签署的加强科技创新合作协议框架，列入市级工程技术研究中心和市级研究机构的建设计划。</w:t>
      </w:r>
    </w:p>
    <w:p>
      <w:pPr>
        <w:spacing w:line="600" w:lineRule="exact"/>
        <w:ind w:firstLine="640" w:firstLineChars="200"/>
        <w:rPr>
          <w:rFonts w:hint="eastAsia" w:ascii="仿宋_GB2312" w:eastAsia="仿宋_GB2312" w:cs="宋体"/>
          <w:sz w:val="32"/>
          <w:szCs w:val="32"/>
        </w:rPr>
      </w:pPr>
      <w:r>
        <w:rPr>
          <w:rFonts w:hint="eastAsia" w:ascii="仿宋_GB2312" w:eastAsia="仿宋_GB2312"/>
          <w:sz w:val="32"/>
          <w:szCs w:val="32"/>
        </w:rPr>
        <w:t>4.</w:t>
      </w:r>
      <w:r>
        <w:rPr>
          <w:rFonts w:hint="eastAsia" w:ascii="仿宋_GB2312" w:hAnsi="宋体" w:eastAsia="仿宋_GB2312" w:cs="宋体"/>
          <w:sz w:val="32"/>
          <w:szCs w:val="32"/>
        </w:rPr>
        <w:t>科研成果积累丰硕，形成一定的学术影响力。五年间，学院教师累计发表论文数量979篇，被SCI、EI等国际“四大检索系统”收录的论文有17篇，展现出相关成果的前沿性和新锐度。经过五年的积累，部分论文成果在国内学界形成学术影响力，其中收入中国科学引文数据库（CSCD）的自然科学类论文有19篇，进入中文社会科学引文索引（CSSCI）的人文社科类论文28篇，文理科的学术研究力发展均衡。各级各类科研成果奖屡有斩获，五年间累计达到13项，其中2013年还实现省级政府科研成果奖项零的突破。在汕头市的社科与科技成果奖项评选方面展现出雄厚实力，共有10人次分获汕头市社科成果、汕头市科技成果的一、二、三等奖，立足本土的研究方向已积淀出特色与成绩，形成较高的公认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5.围绕职业培训和成人教育，加强社会服务供给能力，取得较好的社会效应。五年来，以成教部、现代教育技术中心为主导，接受各级教育行政部门与人事部门委托，先后完成中小学教师专业技术人员培训23000人，中小学新任教师培训1950人，中学校长任职资格培训200人，中小学教师“两学”培训2100人，金平区中小学体育教师毽球教练员培训120人，县级以上及以下幼儿园骨干教师培训550人，幼儿园园长任职资格培训400人。突出教育技术能力专项培训特色，承担中小学教师教育技术能力建设计划项目，累计培训人次达78000人次以上，合格率超过95%，在全省名列前茅。2015年配合市教育局启动中小学教师信息技术应用能力提升工程的实施工作，完成教师培训达27000人次，合格率达96.90%，实际参训合格率达99.11%。探索成人学历教育培训形式的多样化发展，开设汕头职业技术学院专科业余班，培养人数1518人；与广二师联合开办专科起点本科教育，分别有中文专业119人、英语专业17人完成学业；面向院内全日制大专生开办相沟通自考班，历届学生达到近2000人的规模，其中近600人通过报班学习成功取得学位。</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6.进一步强化高职院校工学结合、产教融合的特色，促进校企在办学领域的合作，初步建立产教融合的制度。先后与16家企业单位签署合作培养协议，覆盖超声仪器、电子商务、酒店管理、环保材料、玩具设计等行业，订单式的人才培养模式运作成熟，成效显著。</w:t>
      </w:r>
    </w:p>
    <w:p>
      <w:pPr>
        <w:numPr>
          <w:ilvl w:val="0"/>
          <w:numId w:val="2"/>
        </w:numPr>
        <w:spacing w:line="600" w:lineRule="exact"/>
        <w:ind w:firstLine="643" w:firstLineChars="200"/>
        <w:rPr>
          <w:rFonts w:hint="eastAsia" w:ascii="仿宋_GB2312" w:eastAsia="仿宋_GB2312" w:cs="宋体"/>
          <w:b/>
          <w:sz w:val="32"/>
          <w:szCs w:val="32"/>
        </w:rPr>
      </w:pPr>
      <w:r>
        <w:rPr>
          <w:rFonts w:hint="eastAsia" w:ascii="仿宋_GB2312" w:hAnsi="宋体" w:eastAsia="仿宋_GB2312" w:cs="宋体"/>
          <w:b/>
          <w:sz w:val="32"/>
          <w:szCs w:val="32"/>
        </w:rPr>
        <w:t>存在的主要问题与不足</w:t>
      </w:r>
    </w:p>
    <w:p>
      <w:pPr>
        <w:spacing w:line="600" w:lineRule="exact"/>
        <w:rPr>
          <w:rFonts w:hint="eastAsia" w:ascii="仿宋_GB2312" w:eastAsia="仿宋_GB2312" w:cs="宋体"/>
          <w:b/>
          <w:sz w:val="32"/>
          <w:szCs w:val="32"/>
        </w:rPr>
      </w:pPr>
      <w:r>
        <w:rPr>
          <w:rFonts w:hint="eastAsia" w:ascii="仿宋_GB2312" w:hAnsi="宋体" w:eastAsia="仿宋_GB2312" w:cs="宋体"/>
          <w:b/>
          <w:sz w:val="32"/>
          <w:szCs w:val="32"/>
        </w:rPr>
        <w:t xml:space="preserve">    </w:t>
      </w:r>
      <w:r>
        <w:rPr>
          <w:rFonts w:hint="eastAsia" w:ascii="仿宋_GB2312" w:eastAsia="仿宋_GB2312"/>
          <w:b/>
          <w:sz w:val="32"/>
          <w:szCs w:val="32"/>
        </w:rPr>
        <w:t>1.</w:t>
      </w:r>
      <w:r>
        <w:rPr>
          <w:rFonts w:hint="eastAsia" w:ascii="仿宋_GB2312" w:hAnsi="宋体" w:eastAsia="仿宋_GB2312" w:cs="宋体"/>
          <w:b/>
          <w:sz w:val="32"/>
          <w:szCs w:val="32"/>
        </w:rPr>
        <w:t>科研项目总量偏少、层次过于集中</w:t>
      </w:r>
    </w:p>
    <w:p>
      <w:pPr>
        <w:spacing w:line="600" w:lineRule="exact"/>
        <w:rPr>
          <w:rFonts w:hint="eastAsia" w:ascii="仿宋_GB2312" w:eastAsia="仿宋_GB2312" w:cs="宋体"/>
          <w:sz w:val="32"/>
          <w:szCs w:val="32"/>
        </w:rPr>
      </w:pPr>
      <w:r>
        <w:rPr>
          <w:rFonts w:hint="eastAsia" w:ascii="仿宋_GB2312" w:hAnsi="宋体" w:eastAsia="仿宋_GB2312" w:cs="宋体"/>
          <w:sz w:val="32"/>
          <w:szCs w:val="32"/>
        </w:rPr>
        <w:t xml:space="preserve">    学院教师对科研项目的申报意愿普遍较低，在申报数量与立项数目上存在总量偏少的问题，与学院现有的科研人员数量形成严重错位，造成学术成果与研究方向缺乏积累。已有的课题立项层次主要集中在市一级的社科规划以及科技计划项目，省部级以上的高级别课题立项数量少，对学院学术影响力的提升形成一定的制约。</w:t>
      </w:r>
    </w:p>
    <w:p>
      <w:pPr>
        <w:spacing w:line="600" w:lineRule="exact"/>
        <w:ind w:firstLine="643" w:firstLineChars="200"/>
        <w:rPr>
          <w:rFonts w:hint="eastAsia" w:ascii="仿宋_GB2312" w:eastAsia="仿宋_GB2312" w:cs="宋体"/>
          <w:b/>
          <w:sz w:val="32"/>
          <w:szCs w:val="32"/>
        </w:rPr>
      </w:pPr>
      <w:r>
        <w:rPr>
          <w:rFonts w:hint="eastAsia" w:ascii="仿宋_GB2312" w:eastAsia="仿宋_GB2312"/>
          <w:b/>
          <w:sz w:val="32"/>
          <w:szCs w:val="32"/>
        </w:rPr>
        <w:t>2.</w:t>
      </w:r>
      <w:r>
        <w:rPr>
          <w:rFonts w:hint="eastAsia" w:ascii="仿宋_GB2312" w:hAnsi="宋体" w:eastAsia="仿宋_GB2312" w:cs="宋体"/>
          <w:b/>
          <w:sz w:val="32"/>
          <w:szCs w:val="32"/>
        </w:rPr>
        <w:t>纵横向项目比例失衡，应用科研水平有待提升</w:t>
      </w:r>
    </w:p>
    <w:p>
      <w:pPr>
        <w:spacing w:line="600" w:lineRule="exact"/>
        <w:ind w:firstLine="640" w:firstLineChars="200"/>
        <w:rPr>
          <w:rFonts w:hint="eastAsia" w:ascii="仿宋_GB2312" w:eastAsia="仿宋_GB2312" w:cs="宋体"/>
          <w:sz w:val="32"/>
          <w:szCs w:val="32"/>
        </w:rPr>
      </w:pPr>
      <w:r>
        <w:rPr>
          <w:rFonts w:hint="eastAsia" w:ascii="仿宋_GB2312" w:hAnsi="宋体" w:eastAsia="仿宋_GB2312" w:cs="宋体"/>
          <w:sz w:val="32"/>
          <w:szCs w:val="32"/>
        </w:rPr>
        <w:t>科研项目类型过于单一，以纵向课题为主，横向课题以及相关的技术开发、专利发明数量严重不足，科研成果转化能力稍显不足，不利于与地区战略发展进行深度对接与融合。科研成果较为分散，缺乏体现学术专长和科技特色的研究方向，在科技项目开发的持续性、专注度上有待加强。此外，职业教育的研究力量有待整合，职业教育理论与实践研究的前沿性与校本性成果不充分。</w:t>
      </w:r>
    </w:p>
    <w:p>
      <w:pPr>
        <w:spacing w:line="600" w:lineRule="exact"/>
        <w:ind w:left="420" w:leftChars="200"/>
        <w:rPr>
          <w:rFonts w:hint="eastAsia" w:ascii="仿宋_GB2312" w:eastAsia="仿宋_GB2312" w:cs="宋体"/>
          <w:b/>
          <w:sz w:val="32"/>
          <w:szCs w:val="32"/>
        </w:rPr>
      </w:pPr>
      <w:r>
        <w:rPr>
          <w:rFonts w:hint="eastAsia" w:ascii="仿宋_GB2312" w:eastAsia="仿宋_GB2312"/>
          <w:b/>
          <w:sz w:val="32"/>
          <w:szCs w:val="32"/>
        </w:rPr>
        <w:t xml:space="preserve"> 3.</w:t>
      </w:r>
      <w:r>
        <w:rPr>
          <w:rFonts w:hint="eastAsia" w:ascii="仿宋_GB2312" w:hAnsi="宋体" w:eastAsia="仿宋_GB2312" w:cs="宋体"/>
          <w:b/>
          <w:sz w:val="32"/>
          <w:szCs w:val="32"/>
        </w:rPr>
        <w:t>科研平台建设数量太少、内涵缺乏</w:t>
      </w:r>
    </w:p>
    <w:p>
      <w:pPr>
        <w:spacing w:line="60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以研究中心及技术中心为依托的科研平台建设才处于起步阶段，完整的体系建设尚待探索，科研平台运行机制体制的完善仍有较大空间。科研平台与学院实际和汕头产业布局的对接程度不够深入，尚未形成与专业设置、行业需求和政府导向紧密切合的科研运作模式。</w:t>
      </w:r>
    </w:p>
    <w:p>
      <w:pPr>
        <w:spacing w:line="600" w:lineRule="exact"/>
        <w:ind w:left="420" w:leftChars="200"/>
        <w:rPr>
          <w:rFonts w:hint="eastAsia" w:ascii="仿宋_GB2312" w:eastAsia="仿宋_GB2312" w:cs="宋体"/>
          <w:b/>
          <w:sz w:val="32"/>
          <w:szCs w:val="32"/>
        </w:rPr>
      </w:pPr>
      <w:r>
        <w:rPr>
          <w:rFonts w:hint="eastAsia" w:ascii="仿宋_GB2312" w:eastAsia="仿宋_GB2312"/>
          <w:sz w:val="32"/>
          <w:szCs w:val="32"/>
        </w:rPr>
        <w:t xml:space="preserve"> </w:t>
      </w:r>
      <w:r>
        <w:rPr>
          <w:rFonts w:hint="eastAsia" w:ascii="仿宋_GB2312" w:eastAsia="仿宋_GB2312"/>
          <w:b/>
          <w:sz w:val="32"/>
          <w:szCs w:val="32"/>
        </w:rPr>
        <w:t>4.</w:t>
      </w:r>
      <w:r>
        <w:rPr>
          <w:rFonts w:hint="eastAsia" w:ascii="仿宋_GB2312" w:hAnsi="宋体" w:eastAsia="仿宋_GB2312" w:cs="宋体"/>
          <w:b/>
          <w:sz w:val="32"/>
          <w:szCs w:val="32"/>
        </w:rPr>
        <w:t>科研管理制度体系不够完善</w:t>
      </w:r>
    </w:p>
    <w:p>
      <w:pPr>
        <w:spacing w:line="600" w:lineRule="exact"/>
        <w:ind w:firstLine="640" w:firstLineChars="200"/>
        <w:rPr>
          <w:rFonts w:hint="eastAsia" w:ascii="仿宋_GB2312" w:eastAsia="仿宋_GB2312" w:cs="宋体"/>
          <w:sz w:val="32"/>
          <w:szCs w:val="32"/>
        </w:rPr>
      </w:pPr>
      <w:r>
        <w:rPr>
          <w:rFonts w:hint="eastAsia" w:ascii="仿宋_GB2312" w:hAnsi="宋体" w:eastAsia="仿宋_GB2312" w:cs="宋体"/>
          <w:sz w:val="32"/>
          <w:szCs w:val="32"/>
        </w:rPr>
        <w:t>科研管理制度体系的建设面临更新换代，原有的制度体系已不符合学院的科研建设实际。已有的管理体制对科研工作量的约束力度，奖励与扶持高效益和高水平科研成果的动能方面表现乏力。在规范学风道德、提升学术氛围以及科研人才吸引力方面的制度建设还有待填补空白。科研管理的模式稍显滞后，信息化水平有待提升。</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5.继续教育的办学理念亟待更新，办学设施落后</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与培训机构形成鲜明对比，现有的继续教育办学机制灵活度不足，无法对培训市场的多元化需求做出及时有效的反应。原有的体制优势不复明显，亟需调整思路和更新办学观念。学院现有的培训环境、住宿膳食条件均无法满足社会需求，具体表现为设备陈旧、专用的基础设施建设匮乏。</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6.成教师资队伍建设有待加强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与社会培训市场需求相匹配的师资缺乏，教师队伍结构不尽完善，尤其缺乏高素质的“双师型”人才。现有兼职教师引入制度缺乏吸引力，无法集聚社会上的能工巧匠为社会培训提供优质师资，未来还需加强设计有效的激励机制以及配套措施。</w:t>
      </w:r>
    </w:p>
    <w:p>
      <w:pPr>
        <w:spacing w:line="600" w:lineRule="exact"/>
        <w:ind w:firstLine="643" w:firstLineChars="200"/>
        <w:rPr>
          <w:rFonts w:hint="eastAsia" w:ascii="仿宋_GB2312" w:eastAsia="仿宋_GB2312"/>
          <w:b/>
          <w:sz w:val="32"/>
          <w:szCs w:val="32"/>
        </w:rPr>
      </w:pPr>
      <w:r>
        <w:rPr>
          <w:rFonts w:hint="eastAsia" w:ascii="仿宋_GB2312" w:eastAsia="仿宋_GB2312"/>
          <w:b/>
          <w:sz w:val="32"/>
          <w:szCs w:val="32"/>
        </w:rPr>
        <w:t>7.校企合作管理模式需要加强深化探索</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科学合理的校企合作管理体系尚未建成，与此相配套的教学管理和实训教学模式尚待深化改革。工学结合、校企合作的机制体制与市场对新型专业人才的需求不相匹配，制约校企双方的有效深度融合，有待进一步理顺相关主体的权责，提升培养质量。</w:t>
      </w:r>
    </w:p>
    <w:p>
      <w:pPr>
        <w:spacing w:line="600" w:lineRule="exact"/>
        <w:ind w:firstLine="643" w:firstLineChars="200"/>
        <w:rPr>
          <w:rFonts w:hint="eastAsia" w:ascii="仿宋_GB2312" w:eastAsia="仿宋_GB2312"/>
          <w:sz w:val="32"/>
          <w:szCs w:val="32"/>
        </w:rPr>
      </w:pPr>
      <w:r>
        <w:rPr>
          <w:rFonts w:hint="eastAsia" w:ascii="仿宋_GB2312" w:hAnsi="宋体" w:eastAsia="仿宋_GB2312" w:cs="宋体"/>
          <w:b/>
          <w:bCs/>
          <w:sz w:val="32"/>
          <w:szCs w:val="32"/>
        </w:rPr>
        <w:t>四、“十三五”期间的发展目标与主要任务</w:t>
      </w:r>
    </w:p>
    <w:p>
      <w:pPr>
        <w:spacing w:line="600" w:lineRule="exact"/>
        <w:ind w:firstLine="639" w:firstLineChars="199"/>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（一）发展目标</w:t>
      </w:r>
    </w:p>
    <w:p>
      <w:pPr>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进一步规范科研管理体制，完善现有的科研管理规章制度，持续深化建章立制的工作。确立“以教学为中心，以科研为先导”的指导方针和广大教师在科研工作中的核心和主导地位，进一步提升教师的科研意识、科研水平和创新能力，激励教师多出成果、出好成果，逐步推进各学科基础研究、应用基础研究和应用技术研究，争取高水平研究成果和高级别科研项目与奖励。进一步深化政、校、行、企的科研合作模式，服务地方经济建设与社会发展，夯实基础，面向应用，加快转化，突出特色，重点突破，实现学院“十三五”建设与发展规划的总体目标。</w:t>
      </w:r>
    </w:p>
    <w:p>
      <w:pPr>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（二）主要任务</w:t>
      </w:r>
    </w:p>
    <w:p>
      <w:pPr>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1.加强学术作风建设</w:t>
      </w:r>
    </w:p>
    <w:p>
      <w:pPr>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以引入ISO管理体系为契机，加强科研管理制度建设，改进科研管理，从制度上推动学术作风的建设。加强校级课题结题管理，注重原始资料，注重每位课题组成员的研究情况。严格考核奖励，注重论文查重，严格查处虚假刊物、非法刊物。加大监督和公开力度，纠正科研中的不正之风。引导和鼓励老师潜心研究，以严谨务实的学术作风促进学院科研的健康发展。</w:t>
      </w:r>
    </w:p>
    <w:p>
      <w:pPr>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2.加大科研经费投入力度</w:t>
      </w:r>
    </w:p>
    <w:p>
      <w:pPr>
        <w:adjustRightInd w:val="0"/>
        <w:snapToGrid w:val="0"/>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“十三五”期间，学院将每年增加一定比例的经费投入到科研与科技创新工作中，不断改善科研条件，大幅度提高对科研工作的支持力度，努力为学院争取各级各类科研经费和科技成果创收。“十三五 ”期间，保持科研经费投入持续增长，力争科研经费到账经费总量达到400万元（含院级课题经费）。投入的经费主要用于科技创新团队建设、各级各类科研项目经费配套和资助、校级科研基金项目资助、科研奖励和开展学术活动等。</w:t>
      </w:r>
    </w:p>
    <w:p>
      <w:pPr>
        <w:adjustRightInd w:val="0"/>
        <w:snapToGrid w:val="0"/>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3.配合学院“创新强校”工程，促进科研成果实现稳步突破</w:t>
      </w:r>
    </w:p>
    <w:p>
      <w:pPr>
        <w:adjustRightInd w:val="0"/>
        <w:snapToGrid w:val="0"/>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配合学院“创新强校”工程，进一步完善激励机制，充分调动全院教师从事科学研究的积极性，鼓励多出成果、出高质量成果。“十三五”期间，全院教职工公开发表论文争取达到1000篇以上，核心期刊以上发表的论文力争每年以10－15%的速度增长，在SCI、EI、ISTP等检索系统和统计源期刊上发表和摘引的论文总量要有明显增加。提高各类科研成果获奖数量，力争实现国家级、省部级科研奖励的新突破。力争正式出版科研著作5部以上，获市厅级以上科研成果奖20项。</w:t>
      </w:r>
    </w:p>
    <w:p>
      <w:pPr>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4.拓宽研究领域，提高立项的数量和层次</w:t>
      </w:r>
    </w:p>
    <w:p>
      <w:pPr>
        <w:adjustRightInd w:val="0"/>
        <w:snapToGrid w:val="0"/>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学院各级各类科研项目在数量和质量上均需突破，各级各类科研立项数争取以每年增长10%的速度稳步提高，力争在国家级项目上有所突破，保证省部级和市级项目的立项数目的稳步上升。到2020年，力争获得国家级科研立项数至少1项，省部级科研立项数6项，市级课题80项，院级课题150项，横向课题20项；加强知识产权保护力度，引导广大师生积极申请专利，并加快其转化速度，力争申请国家专利20项，获得专利至少10项。</w:t>
      </w:r>
    </w:p>
    <w:p>
      <w:pPr>
        <w:adjustRightInd w:val="0"/>
        <w:snapToGrid w:val="0"/>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5.建立和完善科研评价奖励体系</w:t>
      </w:r>
    </w:p>
    <w:p>
      <w:pPr>
        <w:adjustRightInd w:val="0"/>
        <w:snapToGrid w:val="0"/>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建立和完善科研资助奖励办法，对课题立项、课题结项、著作、论文、专利、获奖成果进行资金支持和科研成果奖励，特别关注有资课题、高层次课题、三大检索收录论文和核心期刊论文、高层次学术专著和高层次科学技术进步奖等科研成果，实行以奖代资办法，鼓励老师们出重大成果。</w:t>
      </w:r>
    </w:p>
    <w:p>
      <w:pPr>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6.加强学术交流，搭建研究平台，加强科研团队的培植</w:t>
      </w:r>
    </w:p>
    <w:p>
      <w:pPr>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积极支持教师开展国内外学术交流活动，尽快扩大和提升教师在学术领域的声誉。每年举办40场左右学术报告，至少承办一次有影响力的国内高水平学术会议。配合“创新强校”工程的深入开展，倾力支持重点平台的建设。以科研创新平台为依托，整合和发展相关领域的科研力量，充分发挥学术带头人的引领作用，逐步实现对骨干科研力量的培育，与此同时，大力扶持青年学术人才的成长，从中打造出应用科研的优秀团队，培养和造就一批高端应用科研人才。在平台建设方面加大改革步伐，加强与兄弟院校、科研院所和企业的合作，开展科技创新联合攻关，建立联合研发基地。</w:t>
      </w:r>
    </w:p>
    <w:p>
      <w:pPr>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7.加强职教理论与实践研究，发展壮大专职科研机构</w:t>
      </w:r>
    </w:p>
    <w:p>
      <w:pPr>
        <w:spacing w:line="600" w:lineRule="exact"/>
        <w:ind w:firstLine="640" w:firstLineChars="200"/>
        <w:rPr>
          <w:rFonts w:hint="eastAsia" w:ascii="仿宋_GB2312" w:hAnsi="宋体" w:eastAsia="仿宋_GB2312"/>
          <w:color w:val="000000"/>
          <w:sz w:val="32"/>
          <w:szCs w:val="32"/>
          <w:shd w:val="clear" w:color="auto" w:fill="FFFFFF"/>
        </w:rPr>
      </w:pPr>
      <w:r>
        <w:rPr>
          <w:rFonts w:hint="eastAsia" w:ascii="仿宋_GB2312" w:hAnsi="宋体" w:eastAsia="仿宋_GB2312"/>
          <w:color w:val="000000"/>
          <w:sz w:val="32"/>
          <w:szCs w:val="32"/>
          <w:shd w:val="clear" w:color="auto" w:fill="FFFFFF"/>
        </w:rPr>
        <w:t>加强对高等职业教育研究所的建设力度，组织研究力量，提升研究水平，拓展服务功能。支持高职所围绕学院建设开展高层次的学术活动，比如组织学术研讨与系列讲座，开展学术交流。加强职业教育理论前沿研究，为学校内涵发展和技能人才培养模式改革提供智力支持，逐步形成自己的研究特色和学术专长，打造具有区域影响力的高职教育研究中心。全力支持《南方职业教育学刊》进一步提高办刊质量，推出具有地域特色以及理论深度的学术专栏，深化凸显职教理论特色的办刊理念，提升选题策划以及名家组稿能力，以期能体现把握职教领域理论前沿的问题意识和敏锐触觉，从而形成一定的学术影响力。另外，“十三五”期间，争取新成立两个服务地方经济文化的院级科研机构，累计校级科研平台数量达到六个，市级研究机构三个；</w:t>
      </w:r>
    </w:p>
    <w:p>
      <w:pPr>
        <w:spacing w:line="600" w:lineRule="exact"/>
        <w:ind w:firstLine="643" w:firstLineChars="200"/>
        <w:rPr>
          <w:rFonts w:hint="eastAsia" w:ascii="仿宋_GB2312" w:hAnsi="宋体" w:eastAsia="仿宋_GB2312"/>
          <w:b/>
          <w:color w:val="000000"/>
          <w:sz w:val="32"/>
          <w:szCs w:val="32"/>
          <w:shd w:val="clear" w:color="auto" w:fill="FFFFFF"/>
        </w:rPr>
      </w:pPr>
      <w:r>
        <w:rPr>
          <w:rFonts w:hint="eastAsia" w:ascii="仿宋_GB2312" w:hAnsi="宋体" w:eastAsia="仿宋_GB2312"/>
          <w:b/>
          <w:color w:val="000000"/>
          <w:sz w:val="32"/>
          <w:szCs w:val="32"/>
          <w:shd w:val="clear" w:color="auto" w:fill="FFFFFF"/>
        </w:rPr>
        <w:t>8.加强产学研用合作，推进科技成果转化，</w:t>
      </w:r>
      <w:r>
        <w:rPr>
          <w:rFonts w:hint="eastAsia" w:ascii="仿宋_GB2312" w:eastAsia="仿宋_GB2312"/>
          <w:b/>
          <w:sz w:val="32"/>
          <w:szCs w:val="32"/>
        </w:rPr>
        <w:t>拓宽职业培训和成人教育，</w:t>
      </w:r>
      <w:r>
        <w:rPr>
          <w:rFonts w:hint="eastAsia" w:ascii="仿宋_GB2312" w:hAnsi="宋体" w:eastAsia="仿宋_GB2312"/>
          <w:b/>
          <w:color w:val="000000"/>
          <w:sz w:val="32"/>
          <w:szCs w:val="32"/>
          <w:shd w:val="clear" w:color="auto" w:fill="FFFFFF"/>
        </w:rPr>
        <w:t>提高社会服务能力</w:t>
      </w:r>
    </w:p>
    <w:p>
      <w:pPr>
        <w:spacing w:line="600" w:lineRule="exact"/>
        <w:ind w:firstLine="640" w:firstLineChars="200"/>
        <w:rPr>
          <w:rFonts w:hint="eastAsia" w:ascii="仿宋_GB2312" w:eastAsia="仿宋_GB2312"/>
          <w:sz w:val="32"/>
          <w:szCs w:val="32"/>
        </w:rPr>
      </w:pPr>
      <w:r>
        <w:rPr>
          <w:rFonts w:hint="eastAsia" w:ascii="仿宋_GB2312" w:hAnsi="宋体" w:eastAsia="仿宋_GB2312"/>
          <w:color w:val="000000"/>
          <w:sz w:val="32"/>
          <w:szCs w:val="32"/>
          <w:shd w:val="clear" w:color="auto" w:fill="FFFFFF"/>
        </w:rPr>
        <w:t>“十三五”期间，鼓励以各种方式进行成果产业化，努力形成一批具有自主知识产权的高新技术成果，为高新技术产业奠定基础；鼓励科技人才创新、创业，加速科技成果向生产力的转化。加大对横向课题的支持力度，增加其在学院课题构成中的权重系数，到“十三五”末，横向合作经费力争达到科研经费总额的20%以上，使其能够产生一定的社会效益和经济效益，切实发挥高校服务地方区域经济效能。</w:t>
      </w:r>
      <w:r>
        <w:rPr>
          <w:rFonts w:hint="eastAsia" w:ascii="仿宋_GB2312" w:eastAsia="仿宋_GB2312"/>
          <w:sz w:val="32"/>
          <w:szCs w:val="32"/>
        </w:rPr>
        <w:t>进一步强化工学结合、产教融合，大力促进校企在办学领域的合作，力争与数家企业单位签署合作培养协议。“十三五”期间，学院电教中心继续承担中小学教师教育技术能力建设计划项目；学院成教部将继续承担中小学教师专业技术人员、中小学新任教师、中学校长任职资格、中小学教师“两学”、县级以上及以下幼儿园骨干教师及幼儿园园长任职资格等培训，进一步探索成人学历教育培训形式的多样化发展，与多所本科院校联合开办专科起点本科，面向院内全日制大专生开办相沟通自考班。</w:t>
      </w:r>
    </w:p>
    <w:p>
      <w:pPr>
        <w:spacing w:line="600" w:lineRule="exact"/>
        <w:ind w:firstLine="645"/>
        <w:rPr>
          <w:rFonts w:hint="eastAsia" w:ascii="仿宋_GB2312" w:hAnsi="宋体" w:eastAsia="仿宋_GB2312" w:cs="宋体"/>
          <w:b/>
          <w:bCs/>
          <w:sz w:val="32"/>
          <w:szCs w:val="32"/>
        </w:rPr>
      </w:pPr>
      <w:r>
        <w:rPr>
          <w:rFonts w:hint="eastAsia" w:ascii="仿宋_GB2312" w:hAnsi="宋体" w:eastAsia="仿宋_GB2312" w:cs="宋体"/>
          <w:b/>
          <w:bCs/>
          <w:sz w:val="32"/>
          <w:szCs w:val="32"/>
        </w:rPr>
        <w:t>五、保障措施</w:t>
      </w:r>
    </w:p>
    <w:p>
      <w:pPr>
        <w:spacing w:line="600" w:lineRule="exact"/>
        <w:ind w:firstLine="645"/>
        <w:rPr>
          <w:rFonts w:hint="eastAsia" w:ascii="仿宋_GB2312" w:eastAsia="仿宋_GB2312" w:cs="宋体"/>
          <w:b/>
          <w:bCs/>
          <w:sz w:val="32"/>
          <w:szCs w:val="32"/>
        </w:rPr>
      </w:pPr>
      <w:r>
        <w:rPr>
          <w:rFonts w:hint="eastAsia" w:ascii="仿宋_GB2312" w:hAnsi="宋体" w:eastAsia="仿宋_GB2312" w:cs="宋体"/>
          <w:b/>
          <w:bCs/>
          <w:sz w:val="32"/>
          <w:szCs w:val="32"/>
        </w:rPr>
        <w:t>（一）组织保障</w:t>
      </w:r>
    </w:p>
    <w:p>
      <w:pPr>
        <w:spacing w:line="600" w:lineRule="exact"/>
        <w:ind w:firstLine="640" w:firstLineChars="200"/>
        <w:rPr>
          <w:rFonts w:hint="eastAsia" w:ascii="仿宋_GB2312" w:eastAsia="仿宋_GB2312" w:cs="宋体"/>
          <w:sz w:val="32"/>
          <w:szCs w:val="32"/>
        </w:rPr>
      </w:pPr>
      <w:r>
        <w:rPr>
          <w:rFonts w:hint="eastAsia" w:ascii="仿宋_GB2312" w:hAnsi="宋体" w:eastAsia="仿宋_GB2312" w:cs="宋体"/>
          <w:sz w:val="32"/>
          <w:szCs w:val="32"/>
        </w:rPr>
        <w:t xml:space="preserve">坚持党的领导，加强组织建设，成立学院“十三五”规划与实施领导小组和工作小组，分析制订学院总体和分项规划、实施方案与计划，督促各专项规划的贯彻、推进和落实情况，根据形势发展和实际需要，适时调整，确保学院规划的全面落实；建立“专家组”，对规划整体及各项目进行技术评估与建议，使规划具备科学性、可行性；各科室、系部，具体细化五年规划，并落实到日常工作之中；各教职工全员参与规划的实施，确保规划顺利实施。 </w:t>
      </w:r>
    </w:p>
    <w:p>
      <w:pPr>
        <w:spacing w:line="600" w:lineRule="exact"/>
        <w:rPr>
          <w:rFonts w:hint="eastAsia" w:ascii="仿宋_GB2312" w:eastAsia="仿宋_GB2312" w:cs="宋体"/>
          <w:b/>
          <w:bCs/>
          <w:sz w:val="32"/>
          <w:szCs w:val="32"/>
        </w:rPr>
      </w:pPr>
      <w:r>
        <w:rPr>
          <w:rFonts w:hint="eastAsia" w:ascii="仿宋_GB2312" w:hAnsi="宋体" w:eastAsia="仿宋_GB2312" w:cs="宋体"/>
          <w:b/>
          <w:bCs/>
          <w:sz w:val="32"/>
          <w:szCs w:val="32"/>
        </w:rPr>
        <w:t xml:space="preserve">   （二）制度和机制保障</w:t>
      </w:r>
    </w:p>
    <w:p>
      <w:pPr>
        <w:spacing w:line="600" w:lineRule="exact"/>
        <w:ind w:firstLine="640" w:firstLineChars="200"/>
        <w:rPr>
          <w:rFonts w:hint="eastAsia" w:ascii="仿宋_GB2312" w:eastAsia="仿宋_GB2312" w:cs="宋体"/>
          <w:sz w:val="32"/>
          <w:szCs w:val="32"/>
        </w:rPr>
      </w:pPr>
      <w:r>
        <w:rPr>
          <w:rFonts w:hint="eastAsia" w:ascii="仿宋_GB2312" w:hAnsi="宋体" w:eastAsia="仿宋_GB2312" w:cs="宋体"/>
          <w:sz w:val="32"/>
          <w:szCs w:val="32"/>
        </w:rPr>
        <w:t xml:space="preserve">根据学院发展规划的目标要求，加大科研管理制度的修订和完善力度，逐步实现全方位的依法治校、依章办事制度，强化规划目标任务的执行与落实基础；完善科研管理制度的长效运行机制，加强和建立规划目标任务贯彻落实的考核、反馈和动态管理机制，保障规划目标任务的执行力度；按照学术委员会章程的规定，充分发挥学术委员会的职权；建立相应的教职工科研考核机制，保证规划的有效实施。 </w:t>
      </w:r>
    </w:p>
    <w:p>
      <w:pPr>
        <w:spacing w:line="600" w:lineRule="exact"/>
        <w:rPr>
          <w:rFonts w:hint="eastAsia" w:ascii="仿宋_GB2312" w:eastAsia="仿宋_GB2312" w:cs="宋体"/>
          <w:b/>
          <w:bCs/>
          <w:sz w:val="32"/>
          <w:szCs w:val="32"/>
        </w:rPr>
      </w:pPr>
      <w:r>
        <w:rPr>
          <w:rFonts w:hint="eastAsia" w:ascii="仿宋_GB2312" w:hAnsi="宋体" w:eastAsia="仿宋_GB2312" w:cs="宋体"/>
          <w:b/>
          <w:bCs/>
          <w:sz w:val="32"/>
          <w:szCs w:val="32"/>
        </w:rPr>
        <w:t xml:space="preserve">    （三）责任保障</w:t>
      </w:r>
    </w:p>
    <w:p>
      <w:pPr>
        <w:spacing w:line="600" w:lineRule="exact"/>
        <w:ind w:firstLine="640" w:firstLineChars="200"/>
        <w:rPr>
          <w:rFonts w:hint="eastAsia" w:ascii="仿宋_GB2312" w:eastAsia="仿宋_GB2312" w:cs="宋体"/>
          <w:sz w:val="32"/>
          <w:szCs w:val="32"/>
        </w:rPr>
      </w:pPr>
      <w:r>
        <w:rPr>
          <w:rFonts w:hint="eastAsia" w:ascii="仿宋_GB2312" w:hAnsi="宋体" w:eastAsia="仿宋_GB2312" w:cs="宋体"/>
          <w:sz w:val="32"/>
          <w:szCs w:val="32"/>
        </w:rPr>
        <w:t>建立实施规划的各层级的责任机制，规划逐项落实到各科系负责人，明确责任目标、责任人；根据规划制定相应的年度、学期工作目标和计划，形成较详尽的计划方案体系，把规划落实到位。</w:t>
      </w:r>
    </w:p>
    <w:p>
      <w:pPr>
        <w:shd w:val="solid" w:color="FFFFFF" w:fill="auto"/>
        <w:autoSpaceDN w:val="0"/>
        <w:spacing w:line="600" w:lineRule="exact"/>
        <w:ind w:firstLine="572" w:firstLineChars="178"/>
        <w:rPr>
          <w:rFonts w:hint="eastAsia" w:ascii="仿宋_GB2312" w:eastAsia="仿宋_GB2312"/>
          <w:color w:val="000000"/>
          <w:sz w:val="32"/>
          <w:szCs w:val="32"/>
          <w:shd w:val="clear" w:color="auto" w:fill="FFFFFF"/>
        </w:rPr>
      </w:pPr>
      <w:r>
        <w:rPr>
          <w:rFonts w:hint="eastAsia" w:ascii="仿宋_GB2312" w:hAnsi="宋体" w:eastAsia="仿宋_GB2312"/>
          <w:b/>
          <w:color w:val="000000"/>
          <w:sz w:val="32"/>
          <w:szCs w:val="32"/>
          <w:shd w:val="clear" w:color="auto" w:fill="FFFFFF"/>
        </w:rPr>
        <w:t>（四）条件保障</w:t>
      </w:r>
    </w:p>
    <w:p>
      <w:pPr>
        <w:shd w:val="solid" w:color="FFFFFF" w:fill="auto"/>
        <w:autoSpaceDN w:val="0"/>
        <w:spacing w:line="600" w:lineRule="exact"/>
        <w:ind w:firstLine="579" w:firstLineChars="181"/>
        <w:rPr>
          <w:rFonts w:hint="eastAsia" w:ascii="仿宋_GB2312" w:eastAsia="仿宋_GB2312" w:cs="宋体"/>
          <w:sz w:val="32"/>
          <w:szCs w:val="32"/>
        </w:rPr>
      </w:pPr>
      <w:r>
        <w:rPr>
          <w:rFonts w:hint="eastAsia" w:ascii="仿宋_GB2312" w:hAnsi="宋体" w:eastAsia="仿宋_GB2312"/>
          <w:color w:val="000000"/>
          <w:sz w:val="32"/>
          <w:szCs w:val="32"/>
          <w:shd w:val="clear" w:color="auto" w:fill="FFFFFF"/>
        </w:rPr>
        <w:t>优化科研环境，创造尊重知识、尊重科学、尊重人才、鼓励创新的良好氛围。通过政策引导、推动研究机构与企事业单位共同合作，促进科技成果的转化、集成与应用。学校继续逐年增加科研基础条件建设和科研经费的投入，尤其要加强学校公用科研平台的建设，大力购进一批高、精、尖的科研仪器与设备，促进高级别科研成果的产出。采取多种措施，吸引和争取地方政府、企业及社会各界对科技发展的支持和投入，促进科研成果的转化与推广。</w:t>
      </w:r>
    </w:p>
    <w:p>
      <w:pPr>
        <w:spacing w:line="600" w:lineRule="exact"/>
        <w:ind w:firstLine="639" w:firstLineChars="199"/>
        <w:rPr>
          <w:rFonts w:hint="eastAsia" w:ascii="仿宋_GB2312" w:eastAsia="仿宋_GB2312" w:cs="宋体"/>
          <w:b/>
          <w:bCs/>
          <w:sz w:val="32"/>
          <w:szCs w:val="32"/>
        </w:rPr>
      </w:pPr>
      <w:r>
        <w:rPr>
          <w:rFonts w:hint="eastAsia" w:ascii="仿宋_GB2312" w:hAnsi="宋体" w:eastAsia="仿宋_GB2312" w:cs="宋体"/>
          <w:b/>
          <w:bCs/>
          <w:sz w:val="32"/>
          <w:szCs w:val="32"/>
        </w:rPr>
        <w:t xml:space="preserve">（五）政府保障 </w:t>
      </w:r>
    </w:p>
    <w:p>
      <w:pPr>
        <w:spacing w:line="600" w:lineRule="exact"/>
        <w:ind w:firstLine="640" w:firstLineChars="200"/>
        <w:rPr>
          <w:rFonts w:hint="eastAsia" w:ascii="仿宋_GB2312" w:eastAsia="仿宋_GB2312" w:cs="宋体"/>
          <w:sz w:val="32"/>
          <w:szCs w:val="32"/>
        </w:rPr>
      </w:pPr>
      <w:r>
        <w:rPr>
          <w:rFonts w:hint="eastAsia" w:ascii="仿宋_GB2312" w:hAnsi="宋体" w:eastAsia="仿宋_GB2312" w:cs="宋体"/>
          <w:sz w:val="32"/>
          <w:szCs w:val="32"/>
        </w:rPr>
        <w:t>通过取得政府有关部门支持，保障纵横向项目立项数目的数量和质量稳步提升。通过加强与汕头市科学技术局加强创新驱动的合作，努力将校级研究所打造成高标准的市级研究机构。</w:t>
      </w:r>
    </w:p>
    <w:p>
      <w:pPr>
        <w:shd w:val="solid" w:color="FFFFFF" w:fill="auto"/>
        <w:autoSpaceDN w:val="0"/>
        <w:spacing w:line="600" w:lineRule="exact"/>
        <w:ind w:firstLine="420"/>
        <w:rPr>
          <w:rFonts w:hint="eastAsia" w:ascii="仿宋_GB2312" w:eastAsia="仿宋_GB2312" w:cs="宋体"/>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adjustRightInd w:val="0"/>
        <w:snapToGrid w:val="0"/>
        <w:spacing w:line="600" w:lineRule="exact"/>
        <w:jc w:val="center"/>
        <w:rPr>
          <w:rFonts w:hint="eastAsia" w:ascii="宋体" w:hAnsi="宋体"/>
          <w:b/>
          <w:sz w:val="36"/>
          <w:szCs w:val="36"/>
        </w:rPr>
      </w:pPr>
      <w:r>
        <w:rPr>
          <w:rFonts w:hint="eastAsia" w:ascii="宋体" w:hAnsi="宋体"/>
          <w:b/>
          <w:sz w:val="36"/>
          <w:szCs w:val="36"/>
        </w:rPr>
        <w:t>汕头职业技术学院“十三五”实践教学建设（含实验室建设）规划</w:t>
      </w:r>
    </w:p>
    <w:p>
      <w:pPr>
        <w:adjustRightInd w:val="0"/>
        <w:snapToGrid w:val="0"/>
        <w:spacing w:before="312" w:beforeLines="100" w:line="600" w:lineRule="exact"/>
        <w:jc w:val="center"/>
        <w:rPr>
          <w:rFonts w:hint="eastAsia" w:ascii="仿宋_GB2312" w:eastAsia="仿宋_GB2312"/>
          <w:b/>
          <w:sz w:val="32"/>
          <w:szCs w:val="32"/>
        </w:rPr>
      </w:pPr>
      <w:r>
        <w:rPr>
          <w:rFonts w:hint="eastAsia" w:ascii="宋体" w:hAnsi="宋体"/>
          <w:spacing w:val="-6"/>
          <w:sz w:val="36"/>
          <w:szCs w:val="36"/>
        </w:rPr>
        <w:t>（2016-2020年）</w:t>
      </w:r>
    </w:p>
    <w:p>
      <w:pPr>
        <w:adjustRightInd w:val="0"/>
        <w:snapToGrid w:val="0"/>
        <w:spacing w:line="600" w:lineRule="exact"/>
        <w:ind w:firstLine="630" w:firstLineChars="196"/>
        <w:rPr>
          <w:rFonts w:hint="eastAsia" w:ascii="仿宋_GB2312" w:eastAsia="仿宋_GB2312"/>
          <w:b/>
          <w:sz w:val="32"/>
          <w:szCs w:val="32"/>
        </w:rPr>
      </w:pP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一、存在的主要问题</w:t>
      </w:r>
    </w:p>
    <w:p>
      <w:pPr>
        <w:widowControl/>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学校在“十二五”期间快速发展，办学规模不断扩大，实践教学条件得到明显改善，专业建设和课程体系改革逐步启动，实践教学水平不断提高，办学成效显著。但是，仍然存在一些影响学院进一步发展的问题。</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1.实践教学的办学条件有待进一步改善。</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学院现有的实验、实训室建设以及相关配套的实验、实训室设备及环境等基础设施，尚不能充分满足学院培养高素质技能型专门人才和未来发展的需要。</w:t>
      </w:r>
    </w:p>
    <w:p>
      <w:pPr>
        <w:tabs>
          <w:tab w:val="left" w:pos="660"/>
          <w:tab w:val="left" w:pos="6825"/>
        </w:tabs>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2.课程建设，特别是实践教学课程、专业建设和专业结构有待进一步优化。</w:t>
      </w:r>
    </w:p>
    <w:p>
      <w:pPr>
        <w:tabs>
          <w:tab w:val="left" w:pos="660"/>
          <w:tab w:val="left" w:pos="6825"/>
        </w:tabs>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与高职院校人才培养模式改革和区域产业结构升级以及社会发展的需要相比，学院的课程建设，特别是培养学生动手能力的实践教学能力建设方面，以及专业与行业的结合度，专业与行业职业能力的结合切入方面等，仍存在较大差距，缺少有代表性的建设成果，高水平的专业带头人和骨干教师相对不足。</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3.校企合作、工学结合办学模式有待进一步加强。</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校企合作的深度、广度和稳固度相对不足，政府、企业参与学院共建和发展的积极性有待进一步提高；校企合作，工学结合，服务地方经济建设和社会发展等工作仍有待加强。</w:t>
      </w: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二、实践教学建设规划发展目标</w:t>
      </w: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（一）改善优化实践教学课程设置。</w:t>
      </w:r>
    </w:p>
    <w:p>
      <w:pPr>
        <w:adjustRightInd w:val="0"/>
        <w:snapToGrid w:val="0"/>
        <w:spacing w:line="600" w:lineRule="exact"/>
        <w:ind w:firstLine="640" w:firstLineChars="200"/>
        <w:rPr>
          <w:rFonts w:hint="eastAsia" w:ascii="仿宋_GB2312" w:hAnsi="宋体" w:eastAsia="仿宋_GB2312" w:cs="Batang"/>
          <w:sz w:val="32"/>
          <w:szCs w:val="32"/>
        </w:rPr>
      </w:pPr>
      <w:r>
        <w:rPr>
          <w:rFonts w:hint="eastAsia" w:ascii="仿宋_GB2312" w:hAnsi="宋体" w:eastAsia="仿宋_GB2312" w:cs="Batang"/>
          <w:sz w:val="32"/>
          <w:szCs w:val="32"/>
        </w:rPr>
        <w:t>（1）</w:t>
      </w:r>
      <w:r>
        <w:rPr>
          <w:rFonts w:hint="eastAsia" w:ascii="仿宋_GB2312" w:hAnsi="Verdana" w:eastAsia="仿宋_GB2312" w:cs="宋体"/>
          <w:kern w:val="0"/>
          <w:sz w:val="32"/>
          <w:szCs w:val="32"/>
        </w:rPr>
        <w:t>要根据职业岗位的任职要求和专业技术发展水平的要求，确定人才培养目标。坚持课程内容与职业能力相匹配、理论课程与实践课程相融合、学生学习与课程实施相吻合的原则，</w:t>
      </w:r>
      <w:r>
        <w:rPr>
          <w:rFonts w:hint="eastAsia" w:ascii="仿宋_GB2312" w:eastAsia="仿宋_GB2312"/>
          <w:sz w:val="32"/>
          <w:szCs w:val="32"/>
        </w:rPr>
        <w:t>在专业设置、课程体系等方面要充分了解企业的需求，</w:t>
      </w:r>
      <w:r>
        <w:rPr>
          <w:rFonts w:hint="eastAsia" w:ascii="仿宋_GB2312" w:hAnsi="宋体" w:eastAsia="仿宋_GB2312" w:cs="Batang"/>
          <w:sz w:val="32"/>
          <w:szCs w:val="32"/>
        </w:rPr>
        <w:t>积极与行业、企业合作。参照相关的职业资格标准，进行基于工作过程的课程开发与设计，改革课程体系和教学内容。</w:t>
      </w:r>
    </w:p>
    <w:p>
      <w:pPr>
        <w:adjustRightInd w:val="0"/>
        <w:snapToGrid w:val="0"/>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Batang"/>
          <w:sz w:val="32"/>
          <w:szCs w:val="32"/>
        </w:rPr>
        <w:t>（2）积极开展多种形式的任务驱动、项目导向、工学交替、顶岗实习、订单培养等有利于增强学生能力的教学模式改革。</w:t>
      </w:r>
    </w:p>
    <w:p>
      <w:pPr>
        <w:adjustRightInd w:val="0"/>
        <w:snapToGrid w:val="0"/>
        <w:spacing w:line="600" w:lineRule="exact"/>
        <w:ind w:firstLine="640" w:firstLineChars="200"/>
        <w:rPr>
          <w:rFonts w:hint="eastAsia" w:ascii="仿宋_GB2312" w:hAnsi="宋体" w:eastAsia="仿宋_GB2312" w:cs="Batang"/>
          <w:sz w:val="32"/>
          <w:szCs w:val="32"/>
        </w:rPr>
      </w:pPr>
      <w:r>
        <w:rPr>
          <w:rFonts w:hint="eastAsia" w:ascii="仿宋_GB2312" w:hAnsi="Verdana" w:eastAsia="仿宋_GB2312" w:cs="宋体"/>
          <w:kern w:val="0"/>
          <w:sz w:val="32"/>
          <w:szCs w:val="32"/>
        </w:rPr>
        <w:t>（3）坚持以能力培养为主线优化课程设置，构建与人才培养目标相一致的课程体系</w:t>
      </w:r>
      <w:r>
        <w:rPr>
          <w:rFonts w:hint="eastAsia" w:ascii="仿宋_GB2312" w:hAnsi="宋体" w:eastAsia="仿宋_GB2312" w:cs="Batang"/>
          <w:sz w:val="32"/>
          <w:szCs w:val="32"/>
        </w:rPr>
        <w:t>；将行业企业技术标准引入专业课程教学，建设一批优质核心课程。</w:t>
      </w:r>
    </w:p>
    <w:p>
      <w:pPr>
        <w:adjustRightInd w:val="0"/>
        <w:snapToGrid w:val="0"/>
        <w:spacing w:line="600" w:lineRule="exact"/>
        <w:ind w:firstLine="640" w:firstLineChars="200"/>
        <w:rPr>
          <w:rFonts w:hint="eastAsia" w:ascii="仿宋_GB2312" w:hAnsi="Verdana" w:eastAsia="仿宋_GB2312" w:cs="宋体"/>
          <w:kern w:val="0"/>
          <w:sz w:val="32"/>
          <w:szCs w:val="32"/>
        </w:rPr>
      </w:pPr>
      <w:r>
        <w:rPr>
          <w:rFonts w:hint="eastAsia" w:ascii="仿宋_GB2312" w:hAnsi="宋体" w:eastAsia="仿宋_GB2312" w:cs="Batang"/>
          <w:sz w:val="32"/>
          <w:szCs w:val="32"/>
        </w:rPr>
        <w:t>（4）</w:t>
      </w:r>
      <w:r>
        <w:rPr>
          <w:rFonts w:hint="eastAsia" w:ascii="仿宋_GB2312" w:hAnsi="Verdana" w:eastAsia="仿宋_GB2312" w:cs="宋体"/>
          <w:kern w:val="0"/>
          <w:sz w:val="32"/>
          <w:szCs w:val="32"/>
        </w:rPr>
        <w:t>大力开发应用类课程资源，推进课程资源网建设，构建完善的教学信息服务体系，实现优质教学资源共享。</w:t>
      </w: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（二）完善实训体系。</w:t>
      </w:r>
    </w:p>
    <w:p>
      <w:pPr>
        <w:widowControl/>
        <w:adjustRightInd w:val="0"/>
        <w:snapToGrid w:val="0"/>
        <w:spacing w:line="600" w:lineRule="exact"/>
        <w:ind w:firstLine="640" w:firstLineChars="200"/>
        <w:rPr>
          <w:rFonts w:hint="eastAsia" w:ascii="仿宋_GB2312" w:hAnsi="Verdana" w:eastAsia="仿宋_GB2312" w:cs="宋体"/>
          <w:kern w:val="0"/>
          <w:sz w:val="32"/>
          <w:szCs w:val="32"/>
        </w:rPr>
      </w:pPr>
      <w:r>
        <w:rPr>
          <w:rFonts w:hint="eastAsia" w:ascii="仿宋_GB2312" w:hAnsi="Verdana" w:eastAsia="仿宋_GB2312" w:cs="宋体"/>
          <w:kern w:val="0"/>
          <w:sz w:val="32"/>
          <w:szCs w:val="32"/>
        </w:rPr>
        <w:t>实训教学体系建设对于学院的内涵建设至关重要，是促进学生就业与发展的重要建设内容。</w:t>
      </w:r>
    </w:p>
    <w:p>
      <w:pPr>
        <w:widowControl/>
        <w:adjustRightInd w:val="0"/>
        <w:snapToGrid w:val="0"/>
        <w:spacing w:line="600" w:lineRule="exact"/>
        <w:ind w:firstLine="640" w:firstLineChars="200"/>
        <w:rPr>
          <w:rFonts w:hint="eastAsia" w:ascii="仿宋_GB2312" w:hAnsi="Verdana" w:eastAsia="仿宋_GB2312" w:cs="宋体"/>
          <w:kern w:val="0"/>
          <w:sz w:val="32"/>
          <w:szCs w:val="32"/>
        </w:rPr>
      </w:pPr>
      <w:r>
        <w:rPr>
          <w:rFonts w:hint="eastAsia" w:ascii="仿宋_GB2312" w:hAnsi="Verdana" w:eastAsia="仿宋_GB2312" w:cs="宋体"/>
          <w:kern w:val="0"/>
          <w:sz w:val="32"/>
          <w:szCs w:val="32"/>
        </w:rPr>
        <w:t>1.以满足专业发展和教学要求为原则，通过校企合作、引企入校、走进企业等方式，建设多层次的实训体系。</w:t>
      </w:r>
    </w:p>
    <w:p>
      <w:pPr>
        <w:widowControl/>
        <w:adjustRightInd w:val="0"/>
        <w:snapToGrid w:val="0"/>
        <w:spacing w:line="600" w:lineRule="exact"/>
        <w:ind w:firstLine="640" w:firstLineChars="200"/>
        <w:rPr>
          <w:rFonts w:hint="eastAsia" w:ascii="仿宋_GB2312" w:hAnsi="Verdana" w:eastAsia="仿宋_GB2312" w:cs="宋体"/>
          <w:kern w:val="0"/>
          <w:sz w:val="32"/>
          <w:szCs w:val="32"/>
        </w:rPr>
      </w:pPr>
      <w:r>
        <w:rPr>
          <w:rFonts w:hint="eastAsia" w:ascii="仿宋_GB2312" w:hAnsi="Verdana" w:eastAsia="仿宋_GB2312" w:cs="宋体"/>
          <w:kern w:val="0"/>
          <w:sz w:val="32"/>
          <w:szCs w:val="32"/>
        </w:rPr>
        <w:t>2.加大力度建设校内实训基地和校外实训基地，尽可能利用企业的先进设备和场地条件。充分调动</w:t>
      </w:r>
      <w:r>
        <w:rPr>
          <w:rFonts w:hint="eastAsia" w:ascii="仿宋_GB2312" w:hAnsi="宋体" w:eastAsia="仿宋_GB2312" w:cs="宋体"/>
          <w:kern w:val="0"/>
          <w:sz w:val="32"/>
          <w:szCs w:val="32"/>
        </w:rPr>
        <w:t>各学系各相关部门的积极性，加大行动力，主动走出去，与相关行业和企业广泛开展校企合作，为学生提供更好的实训条件。</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3.深化校企合作，拓宽办学渠道。</w:t>
      </w:r>
      <w:r>
        <w:rPr>
          <w:rFonts w:hint="eastAsia" w:ascii="仿宋_GB2312" w:hAnsi="宋体" w:eastAsia="仿宋_GB2312" w:cs="宋体"/>
          <w:kern w:val="0"/>
          <w:sz w:val="32"/>
          <w:szCs w:val="32"/>
        </w:rPr>
        <w:t>要通过</w:t>
      </w:r>
      <w:r>
        <w:rPr>
          <w:rFonts w:hint="eastAsia" w:ascii="仿宋_GB2312" w:hAnsi="Verdana" w:eastAsia="仿宋_GB2312" w:cs="宋体"/>
          <w:kern w:val="0"/>
          <w:sz w:val="32"/>
          <w:szCs w:val="32"/>
        </w:rPr>
        <w:t>改革人才培养模式，探索新的</w:t>
      </w:r>
      <w:r>
        <w:rPr>
          <w:rFonts w:hint="eastAsia" w:ascii="仿宋_GB2312" w:eastAsia="仿宋_GB2312"/>
          <w:sz w:val="32"/>
          <w:szCs w:val="32"/>
        </w:rPr>
        <w:t>校企合作</w:t>
      </w:r>
      <w:r>
        <w:rPr>
          <w:rFonts w:hint="eastAsia" w:ascii="仿宋_GB2312" w:hAnsi="Verdana" w:eastAsia="仿宋_GB2312" w:cs="宋体"/>
          <w:kern w:val="0"/>
          <w:sz w:val="32"/>
          <w:szCs w:val="32"/>
        </w:rPr>
        <w:t>办学模式，</w:t>
      </w:r>
      <w:r>
        <w:rPr>
          <w:rFonts w:hint="eastAsia" w:ascii="仿宋_GB2312" w:eastAsia="仿宋_GB2312"/>
          <w:sz w:val="32"/>
          <w:szCs w:val="32"/>
        </w:rPr>
        <w:t>充分利用企业资源优势，与企业建立长期稳定的合作关系，探索实现学校、企业、学生“三赢”的办学新模式；要合理安排专业教师到企业生产一线实践，与企业联合培养“双师型”教师；要通过校企共建实习实训基地，提高学生的实习质量；要采取“走出去、请进来”等方式，与企业实现教学互动，了解企业对学院培养质量的评价和建议，同时，邀请企业专家来校开设各类专题讲座，聘请一线技师到校讲课或进行车间实习辅导，广泛建立起新的校企合作办学机制。</w:t>
      </w:r>
    </w:p>
    <w:p>
      <w:pPr>
        <w:pStyle w:val="18"/>
        <w:adjustRightInd w:val="0"/>
        <w:snapToGrid w:val="0"/>
        <w:spacing w:before="0" w:beforeAutospacing="0" w:after="0" w:afterAutospacing="0" w:line="600" w:lineRule="exact"/>
        <w:ind w:firstLine="640" w:firstLineChars="200"/>
        <w:jc w:val="both"/>
        <w:rPr>
          <w:rFonts w:hint="eastAsia" w:ascii="仿宋_GB2312" w:hAnsi="微软雅黑" w:eastAsia="仿宋_GB2312"/>
          <w:sz w:val="32"/>
          <w:szCs w:val="32"/>
        </w:rPr>
      </w:pPr>
      <w:r>
        <w:rPr>
          <w:rFonts w:hint="eastAsia" w:ascii="仿宋_GB2312" w:hAnsi="微软雅黑" w:eastAsia="仿宋_GB2312"/>
          <w:sz w:val="32"/>
          <w:szCs w:val="32"/>
        </w:rPr>
        <w:t xml:space="preserve">4.围绕专业建设，强化实践性教学。推动校企共建校内外生产性实训基地、技术研发中心、技能大师工作室等，切实增强技术创新能力和技术技能积累能力;探索校企合作实训基地建设与运行的长效机制;校内实验实训要建立开放式管理平台，实现实训资源开放共享;按照学院、系部及专业群(大类)三个层级统一建设校外实习基地，实现实习基地跨学系、跨专业共享使用;公共基础课和专业课都要加强实践性教学，实践性教学课时占总课时数一半以上;积极推行认识实习、跟岗实习、顶岗实习等多种实习形式，强化以育人为目标的实习实训考核评价，完善系部实习实训管理考核评价。 </w:t>
      </w:r>
    </w:p>
    <w:p>
      <w:pPr>
        <w:pStyle w:val="18"/>
        <w:adjustRightInd w:val="0"/>
        <w:snapToGrid w:val="0"/>
        <w:spacing w:before="0" w:beforeAutospacing="0" w:after="0" w:afterAutospacing="0" w:line="600" w:lineRule="exact"/>
        <w:ind w:firstLine="640" w:firstLineChars="200"/>
        <w:jc w:val="both"/>
        <w:rPr>
          <w:rFonts w:hint="eastAsia" w:ascii="仿宋_GB2312" w:hAnsi="微软雅黑" w:eastAsia="仿宋_GB2312"/>
          <w:sz w:val="32"/>
          <w:szCs w:val="32"/>
        </w:rPr>
      </w:pPr>
      <w:r>
        <w:rPr>
          <w:rFonts w:hint="eastAsia" w:ascii="仿宋_GB2312" w:hAnsi="微软雅黑" w:eastAsia="仿宋_GB2312"/>
          <w:sz w:val="32"/>
          <w:szCs w:val="32"/>
        </w:rPr>
        <w:t>5.实施高徒工程，培养技能精英。提倡发扬新时代“工匠”精神，提升“工程师训练营”、“学生自主学习中心”的运作质量，注重学生专业技能的培养和专业素质的同步提高;强化学生职业核心能力培养，配合《教育部关于开展现代学徒制试点工作的意见》要求，创新开展现代学徒制教育改革，积极推动校企联合招生、联合培养、一体化育人的现代学徒制试点，到十三五末，现代学徒制试点专业5个。</w:t>
      </w: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（三）加强校内、外实训基地建设</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积极完善校内、校外实训基地建设，加大力度建设校内、校外生产性实训基地，创新校企合作模式；建设一批“校中厂”和校内实践基地，使学生在工作岗位上进行实习实训；在校外企业、政府部门中建设一批实习实训教学基地，确保学生在实际岗位上完成顶岗实习并保障学生合法权益。以“校中厂”、“厂中校”为平台，全面推行“教、学、做”一体化教学改革。加大投入建设教学、培训、技能鉴定、技术研发与服务功能为一体的职业技能实习培训基地建设，积极推动高职教育资源共享和工学紧密结合。</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按规划，</w:t>
      </w:r>
      <w:r>
        <w:rPr>
          <w:rFonts w:hint="eastAsia" w:ascii="仿宋_GB2312" w:hAnsi="仿宋" w:eastAsia="仿宋_GB2312"/>
          <w:sz w:val="32"/>
          <w:szCs w:val="32"/>
        </w:rPr>
        <w:t>通过五年建设，</w:t>
      </w:r>
      <w:r>
        <w:rPr>
          <w:rFonts w:hint="eastAsia" w:ascii="仿宋_GB2312" w:hAnsi="宋体" w:eastAsia="仿宋_GB2312"/>
          <w:sz w:val="32"/>
          <w:szCs w:val="32"/>
        </w:rPr>
        <w:t>各系将申报并建成</w:t>
      </w:r>
      <w:r>
        <w:rPr>
          <w:rFonts w:hint="eastAsia" w:ascii="仿宋_GB2312" w:hAnsi="仿宋" w:eastAsia="仿宋_GB2312"/>
          <w:sz w:val="32"/>
          <w:szCs w:val="32"/>
        </w:rPr>
        <w:t>“网络营销实训室”、“建筑工程施工仿真与BIM实训室建设”、“商务礼仪实训基地建设”等</w:t>
      </w:r>
      <w:r>
        <w:rPr>
          <w:rFonts w:hint="eastAsia" w:ascii="仿宋_GB2312" w:hAnsi="宋体" w:eastAsia="仿宋_GB2312"/>
          <w:sz w:val="32"/>
          <w:szCs w:val="32"/>
        </w:rPr>
        <w:t>共33个校内实训基地建设（不含现有改建或扩建的实验、实训场所），</w:t>
      </w:r>
      <w:r>
        <w:rPr>
          <w:rFonts w:hint="eastAsia" w:ascii="仿宋_GB2312" w:hAnsi="仿宋" w:eastAsia="仿宋_GB2312"/>
          <w:sz w:val="32"/>
          <w:szCs w:val="32"/>
        </w:rPr>
        <w:t>还将加大力度建设好“经济管理类实训基地”、“建筑工程管理类实训基地”、“机电工程类实训基地”、“师范教育类实训基地”、“IT类实训基地”等</w:t>
      </w:r>
      <w:r>
        <w:rPr>
          <w:rFonts w:hint="eastAsia" w:ascii="仿宋_GB2312" w:hAnsi="宋体" w:eastAsia="仿宋_GB2312"/>
          <w:sz w:val="32"/>
          <w:szCs w:val="32"/>
        </w:rPr>
        <w:t>34个重点</w:t>
      </w:r>
      <w:r>
        <w:rPr>
          <w:rFonts w:hint="eastAsia" w:ascii="仿宋_GB2312" w:hAnsi="仿宋" w:eastAsia="仿宋_GB2312"/>
          <w:sz w:val="32"/>
          <w:szCs w:val="32"/>
        </w:rPr>
        <w:t>校外实训基地，实现校内外实践教学资源的整合和共享，为培养学生的专业技能和岗位能力提供良好的平台。</w:t>
      </w: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（四）深入推进“双证书”制度</w:t>
      </w:r>
    </w:p>
    <w:p>
      <w:pPr>
        <w:pStyle w:val="18"/>
        <w:adjustRightInd w:val="0"/>
        <w:snapToGrid w:val="0"/>
        <w:spacing w:before="0" w:beforeAutospacing="0" w:after="0" w:afterAutospacing="0" w:line="600" w:lineRule="exact"/>
        <w:ind w:firstLine="640" w:firstLineChars="200"/>
        <w:jc w:val="both"/>
        <w:rPr>
          <w:rFonts w:hint="eastAsia" w:ascii="仿宋_GB2312" w:hAnsi="微软雅黑" w:eastAsia="仿宋_GB2312"/>
          <w:sz w:val="32"/>
          <w:szCs w:val="32"/>
        </w:rPr>
      </w:pPr>
      <w:r>
        <w:rPr>
          <w:rFonts w:hint="eastAsia" w:ascii="仿宋_GB2312" w:hAnsi="微软雅黑" w:eastAsia="仿宋_GB2312"/>
          <w:sz w:val="32"/>
          <w:szCs w:val="32"/>
        </w:rPr>
        <w:t>积极推行“双证书”制度，深入进行“双证融通，产学合作”的人才培养模式改革，</w:t>
      </w:r>
      <w:r>
        <w:rPr>
          <w:rFonts w:hint="eastAsia" w:ascii="仿宋_GB2312" w:eastAsia="仿宋_GB2312"/>
          <w:sz w:val="32"/>
          <w:szCs w:val="32"/>
        </w:rPr>
        <w:t>推进</w:t>
      </w:r>
      <w:r>
        <w:rPr>
          <w:rFonts w:hint="eastAsia" w:ascii="仿宋_GB2312" w:hAnsi="微软雅黑" w:eastAsia="仿宋_GB2312"/>
          <w:sz w:val="32"/>
          <w:szCs w:val="32"/>
        </w:rPr>
        <w:t>与职业技能鉴定机构、行业企业的深度双向合作。十三五期间，拟</w:t>
      </w:r>
      <w:r>
        <w:rPr>
          <w:rFonts w:hint="eastAsia" w:ascii="仿宋_GB2312" w:eastAsia="仿宋_GB2312"/>
          <w:sz w:val="32"/>
          <w:szCs w:val="32"/>
        </w:rPr>
        <w:t>申报新设立学院职业技能鉴定（站）所、思科认证鉴定站等职业技能鉴定考点8个，新增开考“全国跨境电商考试”等职业资格证书24种。（附各系职业资格证书及鉴定站点规划一览表）。到十三五结束，确保各系每专业能有一种以上有较高含金量的职业资格证书，毕业生的“双证书”获取率达85%以上，部分重点专业达90%以上。</w:t>
      </w: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（五）开拓多种形式职业技能大赛</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通过组织学生参加各种专业技能兴趣小组，开展第二课堂活动和丰富多彩的职业技能竞赛，培养学生自尊自信、乐观向上、忠诚守信、感恩宽容等“综合素质”，不断提高学生的职业能力、就业质量和社会竞争力。</w:t>
      </w:r>
    </w:p>
    <w:p>
      <w:pPr>
        <w:pStyle w:val="18"/>
        <w:adjustRightInd w:val="0"/>
        <w:snapToGrid w:val="0"/>
        <w:spacing w:before="0" w:beforeAutospacing="0" w:after="0" w:afterAutospacing="0"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不断完善大赛培训和选拔机制，将大赛与人才培养紧密结合，与学校文化建设紧密结合;坚持以赛促教、以赛促学、以赛促练、以赛促发展，强化学生技能训练;完善院级、省级、国家级竞赛选拔机制，引领专业建设、课程建设和师资建设;举办好学院每年“大专生职业技能大赛”，争取企业支持冠名大赛，开拓新的技能大赛。积极参加国家和省市举办的职业技能大赛，力争取得更好成绩。争取到“十三五”末，学院各专业开展的各项、各级技能大赛达97种，教师教学技能大赛能获省级以上奖项，学生技能大赛能获得全国职业技能大赛一等奖。</w:t>
      </w:r>
    </w:p>
    <w:p>
      <w:pPr>
        <w:adjustRightInd w:val="0"/>
        <w:snapToGrid w:val="0"/>
        <w:spacing w:line="600" w:lineRule="exact"/>
        <w:ind w:firstLine="630" w:firstLineChars="196"/>
        <w:rPr>
          <w:rFonts w:hint="eastAsia" w:ascii="仿宋_GB2312" w:eastAsia="仿宋_GB2312"/>
          <w:b/>
          <w:sz w:val="32"/>
          <w:szCs w:val="32"/>
        </w:rPr>
      </w:pPr>
      <w:r>
        <w:rPr>
          <w:rFonts w:hint="eastAsia" w:ascii="仿宋_GB2312" w:eastAsia="仿宋_GB2312"/>
          <w:b/>
          <w:sz w:val="32"/>
          <w:szCs w:val="32"/>
        </w:rPr>
        <w:t>（六）社会服务目标。</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构建高职社会服务特色模式，完善“培训+认证+学历”三位一体的继续教育模式，提升社会服务层次和服务水平；依托“广东省幼儿园园长培训省级基地”、“广东省幼儿园教师培训省级基地”、“汕头市专业技术人员继续教育培训基地”、“汕头市中小学教师继续教育中心”、“汕头职业技术学院普通话培训测试站”，“汕头职业技术学院职业技能鉴定站（所）”资源，立足汕头、服务粤东、辐射广东开展相关师资培训、职业技能鉴定培训。</w:t>
      </w:r>
    </w:p>
    <w:p>
      <w:pPr>
        <w:adjustRightInd w:val="0"/>
        <w:snapToGrid w:val="0"/>
        <w:spacing w:line="60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以提升区域经济社会发展服务能力为核心，以校企合作机制为支撑，以重点建设专业（群）为依托，健全为企业、社会服务的制度，积极为企业和社会提供技术服务，大力开展技能、技术培训，配合支持企业和社会在岗人员技能和知识更新，力争成为汕头技能人才培训（培养）基地和继续教育示范基地，努力成为区域性高职教育和研究中心、推广新技术的生产力促进中心、成人高职教育与中小学及幼儿园教师培养培训基地。</w:t>
      </w:r>
    </w:p>
    <w:p>
      <w:pPr>
        <w:spacing w:line="600" w:lineRule="exact"/>
        <w:ind w:firstLine="640" w:firstLineChars="200"/>
        <w:rPr>
          <w:rFonts w:hint="eastAsia" w:ascii="仿宋_GB2312" w:hAnsi="宋体" w:eastAsia="仿宋_GB2312"/>
          <w:sz w:val="32"/>
          <w:szCs w:val="32"/>
        </w:rPr>
      </w:pPr>
    </w:p>
    <w:p>
      <w:pPr>
        <w:spacing w:line="600" w:lineRule="exact"/>
        <w:ind w:firstLine="640" w:firstLineChars="200"/>
        <w:rPr>
          <w:rFonts w:hint="eastAsia" w:ascii="仿宋_GB2312" w:hAnsi="宋体" w:eastAsia="仿宋_GB2312"/>
          <w:sz w:val="32"/>
          <w:szCs w:val="32"/>
        </w:rPr>
      </w:pPr>
    </w:p>
    <w:p>
      <w:pPr>
        <w:spacing w:line="600" w:lineRule="exact"/>
        <w:rPr>
          <w:rFonts w:ascii="仿宋_GB2312" w:hAnsi="宋体" w:eastAsia="仿宋_GB2312"/>
          <w:sz w:val="32"/>
          <w:szCs w:val="32"/>
        </w:rPr>
        <w:sectPr>
          <w:headerReference r:id="rId11" w:type="first"/>
          <w:footerReference r:id="rId14" w:type="first"/>
          <w:headerReference r:id="rId9" w:type="default"/>
          <w:footerReference r:id="rId12" w:type="default"/>
          <w:headerReference r:id="rId10" w:type="even"/>
          <w:footerReference r:id="rId13" w:type="even"/>
          <w:pgSz w:w="11906" w:h="16838"/>
          <w:pgMar w:top="1440" w:right="1531" w:bottom="1440" w:left="1588" w:header="851" w:footer="992" w:gutter="0"/>
          <w:pgNumType w:start="1"/>
          <w:cols w:space="720" w:num="1"/>
          <w:docGrid w:type="lines" w:linePitch="312" w:charSpace="0"/>
        </w:sectPr>
      </w:pPr>
    </w:p>
    <w:p>
      <w:pPr>
        <w:adjustRightInd w:val="0"/>
        <w:snapToGrid w:val="0"/>
        <w:spacing w:before="156" w:beforeLines="50" w:after="156" w:afterLines="50"/>
        <w:jc w:val="center"/>
        <w:rPr>
          <w:b/>
          <w:bCs/>
          <w:sz w:val="32"/>
          <w:szCs w:val="40"/>
        </w:rPr>
      </w:pPr>
      <w:r>
        <w:rPr>
          <w:rFonts w:hint="eastAsia"/>
          <w:b/>
          <w:bCs/>
          <w:sz w:val="44"/>
          <w:szCs w:val="44"/>
        </w:rPr>
        <w:t>“十三五”期间，双证书及技能大赛建设规划表（汇总表）</w:t>
      </w:r>
    </w:p>
    <w:tbl>
      <w:tblPr>
        <w:tblStyle w:val="26"/>
        <w:tblW w:w="14175" w:type="dxa"/>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1683"/>
        <w:gridCol w:w="11"/>
        <w:gridCol w:w="7"/>
        <w:gridCol w:w="3412"/>
        <w:gridCol w:w="10"/>
        <w:gridCol w:w="3911"/>
        <w:gridCol w:w="3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6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建设时间</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专业名</w:t>
            </w:r>
          </w:p>
        </w:tc>
        <w:tc>
          <w:tcPr>
            <w:tcW w:w="342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拟新开拓的</w:t>
            </w:r>
          </w:p>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职业资格证书名称</w:t>
            </w:r>
          </w:p>
        </w:tc>
        <w:tc>
          <w:tcPr>
            <w:tcW w:w="39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拟新建的</w:t>
            </w:r>
          </w:p>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国家职业技能鉴定站点名称</w:t>
            </w:r>
          </w:p>
        </w:tc>
        <w:tc>
          <w:tcPr>
            <w:tcW w:w="34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拟新开展的</w:t>
            </w:r>
          </w:p>
          <w:p>
            <w:pPr>
              <w:adjustRightInd w:val="0"/>
              <w:snapToGrid w:val="0"/>
              <w:jc w:val="center"/>
              <w:rPr>
                <w:rFonts w:hint="eastAsia" w:ascii="仿宋_GB2312" w:eastAsia="仿宋_GB2312"/>
                <w:b/>
                <w:bCs/>
                <w:sz w:val="24"/>
                <w:szCs w:val="24"/>
              </w:rPr>
            </w:pPr>
            <w:r>
              <w:rPr>
                <w:rFonts w:hint="eastAsia" w:ascii="仿宋_GB2312" w:eastAsia="仿宋_GB2312"/>
                <w:b/>
                <w:bCs/>
                <w:sz w:val="24"/>
                <w:szCs w:val="24"/>
              </w:rPr>
              <w:t>专业技能大赛项目名称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2016年</w:t>
            </w:r>
          </w:p>
          <w:p>
            <w:pPr>
              <w:jc w:val="center"/>
              <w:rPr>
                <w:rFonts w:hint="eastAsia" w:ascii="仿宋_GB2312" w:eastAsia="仿宋_GB2312"/>
                <w:bCs/>
                <w:sz w:val="24"/>
                <w:szCs w:val="24"/>
              </w:rPr>
            </w:pPr>
            <w:r>
              <w:rPr>
                <w:rFonts w:hint="eastAsia" w:ascii="仿宋_GB2312" w:eastAsia="仿宋_GB2312"/>
                <w:bCs/>
                <w:sz w:val="24"/>
                <w:szCs w:val="24"/>
              </w:rPr>
              <w:t>（经管系）</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ind w:firstLine="120" w:firstLineChars="50"/>
              <w:rPr>
                <w:rFonts w:hint="eastAsia" w:ascii="仿宋_GB2312" w:eastAsia="仿宋_GB2312"/>
                <w:bCs/>
                <w:sz w:val="24"/>
                <w:szCs w:val="24"/>
              </w:rPr>
            </w:pPr>
            <w:r>
              <w:rPr>
                <w:rFonts w:hint="eastAsia" w:ascii="仿宋_GB2312" w:eastAsia="仿宋_GB2312"/>
                <w:bCs/>
                <w:sz w:val="24"/>
                <w:szCs w:val="24"/>
              </w:rPr>
              <w:t>金融与理财</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理财规划师</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2016年</w:t>
            </w:r>
          </w:p>
          <w:p>
            <w:pPr>
              <w:jc w:val="center"/>
              <w:rPr>
                <w:rFonts w:hint="eastAsia" w:ascii="仿宋_GB2312" w:eastAsia="仿宋_GB2312"/>
                <w:bCs/>
                <w:sz w:val="24"/>
                <w:szCs w:val="24"/>
              </w:rPr>
            </w:pPr>
            <w:r>
              <w:rPr>
                <w:rFonts w:hint="eastAsia" w:ascii="仿宋_GB2312" w:eastAsia="仿宋_GB2312"/>
                <w:bCs/>
                <w:sz w:val="24"/>
                <w:szCs w:val="24"/>
              </w:rPr>
              <w:t>（计算机系）</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_GB2312" w:eastAsia="仿宋_GB2312"/>
                <w:bCs/>
                <w:sz w:val="24"/>
                <w:szCs w:val="24"/>
              </w:rPr>
            </w:pPr>
            <w:r>
              <w:rPr>
                <w:rFonts w:hint="eastAsia" w:ascii="仿宋_GB2312" w:eastAsia="仿宋_GB2312"/>
                <w:bCs/>
                <w:sz w:val="24"/>
                <w:szCs w:val="24"/>
              </w:rPr>
              <w:t xml:space="preserve"> 网络专业、</w:t>
            </w:r>
          </w:p>
          <w:p>
            <w:pPr>
              <w:spacing w:line="320" w:lineRule="exact"/>
              <w:jc w:val="center"/>
              <w:rPr>
                <w:rFonts w:hint="eastAsia" w:ascii="仿宋_GB2312" w:eastAsia="仿宋_GB2312"/>
                <w:bCs/>
                <w:sz w:val="24"/>
                <w:szCs w:val="24"/>
              </w:rPr>
            </w:pPr>
            <w:r>
              <w:rPr>
                <w:rFonts w:hint="eastAsia" w:ascii="仿宋_GB2312" w:eastAsia="仿宋_GB2312"/>
                <w:bCs/>
                <w:sz w:val="24"/>
                <w:szCs w:val="24"/>
              </w:rPr>
              <w:t>应用专业</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_GB2312" w:eastAsia="仿宋_GB2312"/>
                <w:bCs/>
                <w:sz w:val="24"/>
                <w:szCs w:val="24"/>
              </w:rPr>
            </w:pPr>
            <w:r>
              <w:rPr>
                <w:rFonts w:hint="eastAsia" w:ascii="仿宋_GB2312" w:eastAsia="仿宋_GB2312"/>
                <w:bCs/>
                <w:sz w:val="24"/>
                <w:szCs w:val="24"/>
              </w:rPr>
              <w:t>网络管理员（初级职称）</w:t>
            </w:r>
          </w:p>
        </w:tc>
        <w:tc>
          <w:tcPr>
            <w:tcW w:w="391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仿宋_GB2312" w:eastAsia="仿宋_GB2312"/>
                <w:bCs/>
                <w:sz w:val="24"/>
                <w:szCs w:val="24"/>
              </w:rPr>
            </w:pPr>
            <w:r>
              <w:rPr>
                <w:rFonts w:hint="eastAsia" w:ascii="仿宋_GB2312" w:eastAsia="仿宋_GB2312"/>
                <w:bCs/>
                <w:sz w:val="24"/>
                <w:szCs w:val="24"/>
              </w:rPr>
              <w:t>计算机网络应用</w:t>
            </w:r>
          </w:p>
          <w:p>
            <w:pPr>
              <w:spacing w:line="320" w:lineRule="exact"/>
              <w:jc w:val="center"/>
              <w:rPr>
                <w:rFonts w:hint="eastAsia" w:ascii="仿宋_GB2312" w:eastAsia="仿宋_GB2312"/>
                <w:bCs/>
                <w:sz w:val="24"/>
                <w:szCs w:val="24"/>
              </w:rPr>
            </w:pPr>
            <w:r>
              <w:rPr>
                <w:rFonts w:hint="eastAsia" w:ascii="仿宋_GB2312" w:eastAsia="仿宋_GB2312"/>
                <w:bCs/>
                <w:sz w:val="24"/>
                <w:szCs w:val="24"/>
              </w:rPr>
              <w:t>信息安全技术应用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2016年</w:t>
            </w:r>
          </w:p>
          <w:p>
            <w:pPr>
              <w:jc w:val="center"/>
              <w:rPr>
                <w:rFonts w:hint="eastAsia" w:ascii="仿宋_GB2312" w:eastAsia="仿宋_GB2312"/>
                <w:bCs/>
                <w:sz w:val="24"/>
                <w:szCs w:val="24"/>
              </w:rPr>
            </w:pPr>
            <w:r>
              <w:rPr>
                <w:rFonts w:hint="eastAsia" w:ascii="仿宋_GB2312" w:eastAsia="仿宋_GB2312"/>
                <w:bCs/>
                <w:sz w:val="24"/>
                <w:szCs w:val="24"/>
              </w:rPr>
              <w:t>（艺体系）</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美术专业</w:t>
            </w:r>
          </w:p>
        </w:tc>
        <w:tc>
          <w:tcPr>
            <w:tcW w:w="34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广告设计</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现场人物素描速写大赛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70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设计专业</w:t>
            </w:r>
          </w:p>
        </w:tc>
        <w:tc>
          <w:tcPr>
            <w:tcW w:w="34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室内装饰设计师</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室内装饰设计师鉴定站</w:t>
            </w: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 xml:space="preserve"> 产品设计技能竞赛、</w:t>
            </w:r>
          </w:p>
          <w:p>
            <w:pPr>
              <w:rPr>
                <w:rFonts w:hint="eastAsia" w:ascii="仿宋_GB2312" w:eastAsia="仿宋_GB2312"/>
                <w:bCs/>
                <w:sz w:val="24"/>
                <w:szCs w:val="24"/>
              </w:rPr>
            </w:pPr>
            <w:r>
              <w:rPr>
                <w:rFonts w:hint="eastAsia" w:ascii="仿宋_GB2312" w:eastAsia="仿宋_GB2312"/>
                <w:bCs/>
                <w:sz w:val="24"/>
                <w:szCs w:val="24"/>
              </w:rPr>
              <w:t xml:space="preserve">       服装设计技能竞赛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70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音乐专业</w:t>
            </w:r>
          </w:p>
        </w:tc>
        <w:tc>
          <w:tcPr>
            <w:tcW w:w="34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钢琴伴奏、器乐演奏、</w:t>
            </w:r>
          </w:p>
          <w:p>
            <w:pPr>
              <w:jc w:val="center"/>
              <w:rPr>
                <w:rFonts w:hint="eastAsia" w:ascii="仿宋_GB2312" w:eastAsia="仿宋_GB2312"/>
                <w:bCs/>
                <w:sz w:val="24"/>
                <w:szCs w:val="24"/>
              </w:rPr>
            </w:pPr>
            <w:r>
              <w:rPr>
                <w:rFonts w:hint="eastAsia" w:ascii="仿宋_GB2312" w:eastAsia="仿宋_GB2312"/>
                <w:bCs/>
                <w:sz w:val="24"/>
                <w:szCs w:val="24"/>
              </w:rPr>
              <w:t>声乐表演</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钢琴伴奏大赛、器乐演奏大赛、</w:t>
            </w:r>
          </w:p>
          <w:p>
            <w:pPr>
              <w:jc w:val="center"/>
              <w:rPr>
                <w:rFonts w:hint="eastAsia" w:ascii="仿宋_GB2312" w:eastAsia="仿宋_GB2312"/>
                <w:bCs/>
                <w:sz w:val="24"/>
                <w:szCs w:val="24"/>
              </w:rPr>
            </w:pPr>
            <w:r>
              <w:rPr>
                <w:rFonts w:hint="eastAsia" w:ascii="仿宋_GB2312" w:eastAsia="仿宋_GB2312"/>
                <w:bCs/>
                <w:sz w:val="24"/>
                <w:szCs w:val="24"/>
              </w:rPr>
              <w:t>声乐表演大赛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70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体育专业</w:t>
            </w:r>
          </w:p>
        </w:tc>
        <w:tc>
          <w:tcPr>
            <w:tcW w:w="34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国家社会体育指导员（跆拳道）</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广东省社会体育指导员培训基地</w:t>
            </w: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2016年</w:t>
            </w:r>
          </w:p>
          <w:p>
            <w:pPr>
              <w:jc w:val="center"/>
              <w:rPr>
                <w:rFonts w:hint="eastAsia" w:ascii="仿宋_GB2312" w:eastAsia="仿宋_GB2312"/>
                <w:bCs/>
                <w:sz w:val="24"/>
                <w:szCs w:val="24"/>
              </w:rPr>
            </w:pPr>
            <w:r>
              <w:rPr>
                <w:rFonts w:hint="eastAsia" w:ascii="仿宋_GB2312" w:eastAsia="仿宋_GB2312"/>
                <w:bCs/>
                <w:sz w:val="24"/>
                <w:szCs w:val="24"/>
              </w:rPr>
              <w:t>（自然科学）</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数学</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2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r>
              <w:rPr>
                <w:rFonts w:hint="eastAsia" w:ascii="仿宋_GB2312" w:eastAsia="仿宋_GB2312"/>
                <w:sz w:val="24"/>
                <w:szCs w:val="24"/>
              </w:rPr>
              <w:t>数学建模、高等数学赛项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环境工程</w:t>
            </w:r>
          </w:p>
          <w:p>
            <w:pPr>
              <w:jc w:val="center"/>
              <w:rPr>
                <w:rFonts w:hint="eastAsia" w:ascii="仿宋_GB2312" w:eastAsia="仿宋_GB2312"/>
                <w:bCs/>
                <w:sz w:val="24"/>
                <w:szCs w:val="24"/>
              </w:rPr>
            </w:pPr>
            <w:r>
              <w:rPr>
                <w:rFonts w:hint="eastAsia" w:ascii="仿宋_GB2312" w:eastAsia="仿宋_GB2312"/>
                <w:bCs/>
                <w:sz w:val="24"/>
                <w:szCs w:val="24"/>
              </w:rPr>
              <w:t>技术</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2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r>
              <w:rPr>
                <w:rFonts w:hint="eastAsia" w:ascii="仿宋_GB2312" w:eastAsia="仿宋_GB2312"/>
                <w:sz w:val="24"/>
                <w:szCs w:val="24"/>
              </w:rPr>
              <w:t>广东省高职技能大赛水环境监测与治理技术赛项、大气环境监测与治理技术赛项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2017年</w:t>
            </w:r>
          </w:p>
          <w:p>
            <w:pPr>
              <w:jc w:val="center"/>
              <w:rPr>
                <w:rFonts w:hint="eastAsia" w:ascii="仿宋_GB2312" w:eastAsia="仿宋_GB2312"/>
                <w:bCs/>
                <w:sz w:val="24"/>
                <w:szCs w:val="24"/>
              </w:rPr>
            </w:pPr>
            <w:r>
              <w:rPr>
                <w:rFonts w:hint="eastAsia" w:ascii="仿宋_GB2312" w:eastAsia="仿宋_GB2312"/>
                <w:bCs/>
                <w:sz w:val="24"/>
                <w:szCs w:val="24"/>
              </w:rPr>
              <w:t>（经管系）</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会计</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“会计技能”大赛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市场营销</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助理电子商务师</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“市场营销技能”大赛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旅游管理</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“导游服务”大赛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2017年</w:t>
            </w:r>
          </w:p>
          <w:p>
            <w:pPr>
              <w:jc w:val="center"/>
              <w:rPr>
                <w:rFonts w:hint="eastAsia" w:ascii="仿宋_GB2312" w:eastAsia="仿宋_GB2312"/>
                <w:bCs/>
                <w:sz w:val="24"/>
                <w:szCs w:val="24"/>
              </w:rPr>
            </w:pPr>
            <w:r>
              <w:rPr>
                <w:rFonts w:hint="eastAsia" w:ascii="仿宋_GB2312" w:eastAsia="仿宋_GB2312"/>
                <w:bCs/>
                <w:sz w:val="24"/>
                <w:szCs w:val="24"/>
              </w:rPr>
              <w:t>（计算机系）</w:t>
            </w:r>
          </w:p>
        </w:tc>
        <w:tc>
          <w:tcPr>
            <w:tcW w:w="1683"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仿宋_GB2312" w:eastAsia="仿宋_GB2312"/>
                <w:bCs/>
                <w:sz w:val="24"/>
                <w:szCs w:val="24"/>
              </w:rPr>
            </w:pPr>
            <w:r>
              <w:rPr>
                <w:rFonts w:hint="eastAsia" w:ascii="仿宋_GB2312" w:eastAsia="仿宋_GB2312"/>
                <w:bCs/>
                <w:sz w:val="24"/>
                <w:szCs w:val="24"/>
              </w:rPr>
              <w:t xml:space="preserve"> 网络专业、</w:t>
            </w:r>
          </w:p>
          <w:p>
            <w:pPr>
              <w:spacing w:line="260" w:lineRule="exact"/>
              <w:jc w:val="center"/>
              <w:rPr>
                <w:rFonts w:hint="eastAsia" w:ascii="仿宋_GB2312" w:eastAsia="仿宋_GB2312"/>
                <w:bCs/>
                <w:sz w:val="24"/>
                <w:szCs w:val="24"/>
              </w:rPr>
            </w:pPr>
            <w:r>
              <w:rPr>
                <w:rFonts w:hint="eastAsia" w:ascii="仿宋_GB2312" w:eastAsia="仿宋_GB2312"/>
                <w:bCs/>
                <w:sz w:val="24"/>
                <w:szCs w:val="24"/>
              </w:rPr>
              <w:t>应用专业</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思科认证</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思科认证鉴定站</w:t>
            </w: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2017年</w:t>
            </w:r>
          </w:p>
          <w:p>
            <w:pPr>
              <w:jc w:val="center"/>
              <w:rPr>
                <w:rFonts w:hint="eastAsia" w:ascii="仿宋_GB2312" w:eastAsia="仿宋_GB2312"/>
                <w:bCs/>
                <w:sz w:val="24"/>
                <w:szCs w:val="24"/>
              </w:rPr>
            </w:pPr>
            <w:r>
              <w:rPr>
                <w:rFonts w:hint="eastAsia" w:ascii="仿宋_GB2312" w:eastAsia="仿宋_GB2312"/>
                <w:bCs/>
                <w:sz w:val="24"/>
                <w:szCs w:val="24"/>
              </w:rPr>
              <w:t>（外语系）</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商务英语</w:t>
            </w:r>
          </w:p>
          <w:p>
            <w:pPr>
              <w:jc w:val="center"/>
              <w:rPr>
                <w:rFonts w:hint="eastAsia" w:ascii="仿宋_GB2312" w:eastAsia="仿宋_GB2312"/>
                <w:bCs/>
                <w:sz w:val="24"/>
                <w:szCs w:val="24"/>
              </w:rPr>
            </w:pPr>
            <w:r>
              <w:rPr>
                <w:rFonts w:hint="eastAsia" w:ascii="仿宋_GB2312" w:eastAsia="仿宋_GB2312"/>
                <w:bCs/>
                <w:sz w:val="24"/>
                <w:szCs w:val="24"/>
              </w:rPr>
              <w:t>应用英语</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中国翻译协会语言服务能力与评估翻译证书</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中华茶艺</w:t>
            </w:r>
          </w:p>
          <w:p>
            <w:pPr>
              <w:jc w:val="center"/>
              <w:rPr>
                <w:rFonts w:hint="eastAsia" w:ascii="仿宋_GB2312" w:eastAsia="仿宋_GB2312"/>
                <w:bCs/>
                <w:sz w:val="24"/>
                <w:szCs w:val="24"/>
              </w:rPr>
            </w:pPr>
            <w:r>
              <w:rPr>
                <w:rFonts w:hint="eastAsia" w:ascii="仿宋_GB2312" w:eastAsia="仿宋_GB2312"/>
                <w:bCs/>
                <w:sz w:val="24"/>
                <w:szCs w:val="24"/>
              </w:rPr>
              <w:t>翻译比赛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2017年</w:t>
            </w:r>
          </w:p>
          <w:p>
            <w:pPr>
              <w:jc w:val="center"/>
              <w:rPr>
                <w:rFonts w:hint="eastAsia" w:ascii="仿宋_GB2312" w:eastAsia="仿宋_GB2312"/>
                <w:bCs/>
                <w:sz w:val="24"/>
                <w:szCs w:val="24"/>
              </w:rPr>
            </w:pPr>
            <w:r>
              <w:rPr>
                <w:rFonts w:hint="eastAsia" w:ascii="仿宋_GB2312" w:eastAsia="仿宋_GB2312"/>
                <w:bCs/>
                <w:sz w:val="24"/>
                <w:szCs w:val="24"/>
              </w:rPr>
              <w:t>（机电系）</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应用电子技术</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维修电工</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维修电工</w:t>
            </w: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电工技能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2017年</w:t>
            </w:r>
          </w:p>
          <w:p>
            <w:pPr>
              <w:jc w:val="center"/>
              <w:rPr>
                <w:rFonts w:hint="eastAsia" w:ascii="仿宋_GB2312" w:eastAsia="仿宋_GB2312"/>
                <w:bCs/>
                <w:sz w:val="24"/>
                <w:szCs w:val="24"/>
              </w:rPr>
            </w:pPr>
            <w:r>
              <w:rPr>
                <w:rFonts w:hint="eastAsia" w:ascii="仿宋_GB2312" w:eastAsia="仿宋_GB2312"/>
                <w:bCs/>
                <w:sz w:val="24"/>
                <w:szCs w:val="24"/>
              </w:rPr>
              <w:t>（艺体系）</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设计专业</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玩具设计师、广告设计师</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 xml:space="preserve">  玩具设计师鉴定站、</w:t>
            </w:r>
          </w:p>
          <w:p>
            <w:pPr>
              <w:jc w:val="center"/>
              <w:rPr>
                <w:rFonts w:hint="eastAsia" w:ascii="仿宋_GB2312" w:eastAsia="仿宋_GB2312"/>
                <w:bCs/>
                <w:sz w:val="24"/>
                <w:szCs w:val="24"/>
              </w:rPr>
            </w:pPr>
            <w:r>
              <w:rPr>
                <w:rFonts w:hint="eastAsia" w:ascii="仿宋_GB2312" w:eastAsia="仿宋_GB2312"/>
                <w:bCs/>
                <w:sz w:val="24"/>
                <w:szCs w:val="24"/>
              </w:rPr>
              <w:t>广告设计师鉴定站</w:t>
            </w: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室内装饰设计技能竞赛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体育专业</w:t>
            </w:r>
          </w:p>
        </w:tc>
        <w:tc>
          <w:tcPr>
            <w:tcW w:w="344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国家社会体育指导员</w:t>
            </w:r>
          </w:p>
          <w:p>
            <w:pPr>
              <w:jc w:val="center"/>
              <w:rPr>
                <w:rFonts w:hint="eastAsia" w:ascii="仿宋_GB2312" w:eastAsia="仿宋_GB2312"/>
                <w:bCs/>
                <w:sz w:val="24"/>
                <w:szCs w:val="24"/>
              </w:rPr>
            </w:pPr>
            <w:r>
              <w:rPr>
                <w:rFonts w:hint="eastAsia" w:ascii="仿宋_GB2312" w:eastAsia="仿宋_GB2312"/>
                <w:bCs/>
                <w:sz w:val="24"/>
                <w:szCs w:val="24"/>
              </w:rPr>
              <w:t>（健身教练）</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2017年</w:t>
            </w:r>
          </w:p>
          <w:p>
            <w:pPr>
              <w:jc w:val="center"/>
              <w:rPr>
                <w:rFonts w:hint="eastAsia" w:ascii="仿宋_GB2312" w:eastAsia="仿宋_GB2312"/>
                <w:bCs/>
                <w:sz w:val="24"/>
                <w:szCs w:val="24"/>
              </w:rPr>
            </w:pPr>
            <w:r>
              <w:rPr>
                <w:rFonts w:hint="eastAsia" w:ascii="仿宋_GB2312" w:eastAsia="仿宋_GB2312"/>
                <w:bCs/>
                <w:sz w:val="24"/>
                <w:szCs w:val="24"/>
              </w:rPr>
              <w:t>（自然科学）</w:t>
            </w: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数学</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2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sz w:val="24"/>
                <w:szCs w:val="24"/>
              </w:rPr>
              <w:t>数学建模、高等数学赛项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生物</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食品检验工（中级）</w:t>
            </w:r>
          </w:p>
        </w:tc>
        <w:tc>
          <w:tcPr>
            <w:tcW w:w="392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环境工程技术</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2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r>
              <w:rPr>
                <w:rFonts w:hint="eastAsia" w:ascii="仿宋_GB2312" w:eastAsia="仿宋_GB2312"/>
                <w:sz w:val="24"/>
                <w:szCs w:val="24"/>
              </w:rPr>
              <w:t>广东省高职技能大赛水环境监测与治理技术赛项、大气环境监测与治理技术赛项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2018年</w:t>
            </w:r>
          </w:p>
          <w:p>
            <w:pPr>
              <w:jc w:val="center"/>
              <w:rPr>
                <w:rFonts w:hint="eastAsia" w:ascii="仿宋_GB2312" w:eastAsia="仿宋_GB2312"/>
                <w:bCs/>
                <w:sz w:val="24"/>
                <w:szCs w:val="24"/>
              </w:rPr>
            </w:pPr>
            <w:r>
              <w:rPr>
                <w:rFonts w:hint="eastAsia" w:ascii="仿宋_GB2312" w:eastAsia="仿宋_GB2312"/>
                <w:bCs/>
                <w:sz w:val="24"/>
                <w:szCs w:val="24"/>
              </w:rPr>
              <w:t>（经管系）</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电子商务</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“电子商务技能”大赛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国际贸易</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“报关技能”大赛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建筑工程管理</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BIM建模师</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“BIM应用技能”大赛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2018年</w:t>
            </w:r>
          </w:p>
          <w:p>
            <w:pPr>
              <w:jc w:val="center"/>
              <w:rPr>
                <w:rFonts w:hint="eastAsia" w:ascii="仿宋_GB2312" w:eastAsia="仿宋_GB2312"/>
                <w:bCs/>
                <w:sz w:val="24"/>
                <w:szCs w:val="24"/>
              </w:rPr>
            </w:pPr>
            <w:r>
              <w:rPr>
                <w:rFonts w:hint="eastAsia" w:ascii="仿宋_GB2312" w:eastAsia="仿宋_GB2312"/>
                <w:bCs/>
                <w:sz w:val="24"/>
                <w:szCs w:val="24"/>
              </w:rPr>
              <w:t>（计算机系）</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数字媒体专业</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数字媒体应用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6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2018年</w:t>
            </w:r>
          </w:p>
          <w:p>
            <w:pPr>
              <w:jc w:val="center"/>
              <w:rPr>
                <w:rFonts w:hint="eastAsia" w:ascii="仿宋_GB2312" w:eastAsia="仿宋_GB2312"/>
                <w:bCs/>
                <w:sz w:val="24"/>
                <w:szCs w:val="24"/>
              </w:rPr>
            </w:pPr>
            <w:r>
              <w:rPr>
                <w:rFonts w:hint="eastAsia" w:ascii="仿宋_GB2312" w:eastAsia="仿宋_GB2312"/>
                <w:bCs/>
                <w:sz w:val="24"/>
                <w:szCs w:val="24"/>
              </w:rPr>
              <w:t>（机电系）</w:t>
            </w:r>
          </w:p>
        </w:tc>
        <w:tc>
          <w:tcPr>
            <w:tcW w:w="1701"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机电一体化</w:t>
            </w:r>
          </w:p>
        </w:tc>
        <w:tc>
          <w:tcPr>
            <w:tcW w:w="34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数控车床</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数控车床</w:t>
            </w: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机械加工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2018年</w:t>
            </w:r>
          </w:p>
          <w:p>
            <w:pPr>
              <w:jc w:val="center"/>
              <w:rPr>
                <w:rFonts w:hint="eastAsia" w:ascii="仿宋_GB2312" w:eastAsia="仿宋_GB2312"/>
                <w:bCs/>
                <w:sz w:val="24"/>
                <w:szCs w:val="24"/>
              </w:rPr>
            </w:pPr>
            <w:r>
              <w:rPr>
                <w:rFonts w:hint="eastAsia" w:ascii="仿宋_GB2312" w:eastAsia="仿宋_GB2312"/>
                <w:bCs/>
                <w:sz w:val="24"/>
                <w:szCs w:val="24"/>
              </w:rPr>
              <w:t>（自然科学）</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数学</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sz w:val="24"/>
                <w:szCs w:val="24"/>
              </w:rPr>
              <w:t>数学建模、高等数学赛项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食品检测技术</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食品检验工（中级）</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环境工程技术</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r>
              <w:rPr>
                <w:rFonts w:hint="eastAsia" w:ascii="仿宋_GB2312" w:eastAsia="仿宋_GB2312"/>
                <w:sz w:val="24"/>
                <w:szCs w:val="24"/>
              </w:rPr>
              <w:t>广东省高职技能大赛水环境监测与治理技术赛项、大气环境监测与治理技术赛项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2019年</w:t>
            </w:r>
          </w:p>
          <w:p>
            <w:pPr>
              <w:jc w:val="center"/>
              <w:rPr>
                <w:rFonts w:hint="eastAsia" w:ascii="仿宋_GB2312" w:eastAsia="仿宋_GB2312"/>
                <w:bCs/>
                <w:sz w:val="24"/>
                <w:szCs w:val="24"/>
              </w:rPr>
            </w:pPr>
            <w:r>
              <w:rPr>
                <w:rFonts w:hint="eastAsia" w:ascii="仿宋_GB2312" w:eastAsia="仿宋_GB2312"/>
                <w:bCs/>
                <w:sz w:val="24"/>
                <w:szCs w:val="24"/>
              </w:rPr>
              <w:t>（经管系）</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建筑工程管理</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测绘员</w:t>
            </w: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“测绘”大赛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物流管理</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现代物流作业方案与实施大赛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2019年</w:t>
            </w:r>
          </w:p>
          <w:p>
            <w:pPr>
              <w:jc w:val="center"/>
              <w:rPr>
                <w:rFonts w:hint="eastAsia" w:ascii="仿宋_GB2312" w:eastAsia="仿宋_GB2312"/>
                <w:bCs/>
                <w:sz w:val="24"/>
                <w:szCs w:val="24"/>
              </w:rPr>
            </w:pPr>
            <w:r>
              <w:rPr>
                <w:rFonts w:hint="eastAsia" w:ascii="仿宋_GB2312" w:eastAsia="仿宋_GB2312"/>
                <w:bCs/>
                <w:sz w:val="24"/>
                <w:szCs w:val="24"/>
              </w:rPr>
              <w:t>（自然科学）</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数学</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sz w:val="24"/>
                <w:szCs w:val="24"/>
              </w:rPr>
              <w:t>数学建模、高等数学赛项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环境工程技术</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r>
              <w:rPr>
                <w:rFonts w:hint="eastAsia" w:ascii="仿宋_GB2312" w:eastAsia="仿宋_GB2312"/>
                <w:sz w:val="24"/>
                <w:szCs w:val="24"/>
              </w:rPr>
              <w:t>广东省高职技能大赛水环境监测与治理技术赛项、大气环境监测与治理技术赛项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6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2020年</w:t>
            </w:r>
          </w:p>
          <w:p>
            <w:pPr>
              <w:jc w:val="center"/>
              <w:rPr>
                <w:rFonts w:hint="eastAsia" w:ascii="仿宋_GB2312" w:eastAsia="仿宋_GB2312"/>
                <w:bCs/>
                <w:sz w:val="24"/>
                <w:szCs w:val="24"/>
              </w:rPr>
            </w:pPr>
            <w:r>
              <w:rPr>
                <w:rFonts w:hint="eastAsia" w:ascii="仿宋_GB2312" w:eastAsia="仿宋_GB2312"/>
                <w:bCs/>
                <w:sz w:val="24"/>
                <w:szCs w:val="24"/>
              </w:rPr>
              <w:t>（自然科学）</w:t>
            </w: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数学</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sz w:val="24"/>
                <w:szCs w:val="24"/>
              </w:rPr>
              <w:t>数学建模、高等数学赛项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167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16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r>
              <w:rPr>
                <w:rFonts w:hint="eastAsia" w:ascii="仿宋_GB2312" w:eastAsia="仿宋_GB2312"/>
                <w:bCs/>
                <w:sz w:val="24"/>
                <w:szCs w:val="24"/>
              </w:rPr>
              <w:t>环境工程技术</w:t>
            </w:r>
          </w:p>
        </w:tc>
        <w:tc>
          <w:tcPr>
            <w:tcW w:w="3429"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91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bCs/>
                <w:sz w:val="24"/>
                <w:szCs w:val="24"/>
              </w:rPr>
            </w:pPr>
          </w:p>
        </w:tc>
        <w:tc>
          <w:tcPr>
            <w:tcW w:w="34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szCs w:val="24"/>
              </w:rPr>
            </w:pPr>
            <w:r>
              <w:rPr>
                <w:rFonts w:hint="eastAsia" w:ascii="仿宋_GB2312" w:eastAsia="仿宋_GB2312"/>
                <w:sz w:val="24"/>
                <w:szCs w:val="24"/>
              </w:rPr>
              <w:t>广东省高职技能大赛水环境监测与治理技术赛项、大气环境监测与治理技术赛项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3" w:hRule="atLeast"/>
        </w:trPr>
        <w:tc>
          <w:tcPr>
            <w:tcW w:w="14175" w:type="dxa"/>
            <w:gridSpan w:val="8"/>
            <w:tcBorders>
              <w:top w:val="single" w:color="auto" w:sz="4" w:space="0"/>
              <w:left w:val="single" w:color="auto" w:sz="4" w:space="0"/>
              <w:right w:val="single" w:color="auto" w:sz="4" w:space="0"/>
            </w:tcBorders>
            <w:vAlign w:val="center"/>
          </w:tcPr>
          <w:p>
            <w:pPr>
              <w:spacing w:line="320" w:lineRule="exact"/>
              <w:rPr>
                <w:rFonts w:hint="eastAsia" w:ascii="仿宋_GB2312" w:eastAsia="仿宋_GB2312"/>
                <w:b/>
                <w:bCs/>
                <w:sz w:val="24"/>
                <w:szCs w:val="24"/>
              </w:rPr>
            </w:pPr>
            <w:r>
              <w:rPr>
                <w:rFonts w:hint="eastAsia" w:ascii="仿宋_GB2312" w:eastAsia="仿宋_GB2312"/>
                <w:b/>
                <w:bCs/>
                <w:sz w:val="24"/>
                <w:szCs w:val="24"/>
              </w:rPr>
              <w:t>“十三五”期间系（中心）相关专业双证书及技能大赛项目建设目标：</w:t>
            </w:r>
          </w:p>
          <w:p>
            <w:pPr>
              <w:spacing w:line="320" w:lineRule="exact"/>
              <w:rPr>
                <w:rFonts w:hint="eastAsia" w:ascii="仿宋_GB2312" w:eastAsia="仿宋_GB2312"/>
                <w:b/>
                <w:bCs/>
                <w:sz w:val="24"/>
                <w:szCs w:val="24"/>
              </w:rPr>
            </w:pPr>
            <w:r>
              <w:rPr>
                <w:rFonts w:hint="eastAsia" w:ascii="仿宋_GB2312" w:eastAsia="仿宋_GB2312"/>
                <w:b/>
                <w:bCs/>
                <w:sz w:val="24"/>
                <w:szCs w:val="24"/>
              </w:rPr>
              <w:t>（包括专业现有职业资格证书考试及所开展的技能大赛现状，存在问题，拟在“十三五”期间新开拓的职业资格证书考试名称、专业技能大赛项目等情况，可另附表）</w:t>
            </w:r>
          </w:p>
        </w:tc>
      </w:tr>
    </w:tbl>
    <w:p>
      <w:pPr>
        <w:rPr>
          <w:rFonts w:hint="eastAsia"/>
        </w:rPr>
      </w:pPr>
    </w:p>
    <w:p>
      <w:pPr>
        <w:spacing w:line="600" w:lineRule="exact"/>
        <w:rPr>
          <w:rFonts w:hint="eastAsia" w:ascii="仿宋_GB2312" w:hAnsi="宋体" w:eastAsia="仿宋_GB2312"/>
          <w:sz w:val="32"/>
          <w:szCs w:val="32"/>
        </w:rPr>
      </w:pPr>
    </w:p>
    <w:p>
      <w:pPr>
        <w:spacing w:line="600" w:lineRule="exact"/>
        <w:rPr>
          <w:rFonts w:hint="eastAsia" w:ascii="仿宋_GB2312" w:hAnsi="宋体" w:eastAsia="仿宋_GB2312"/>
          <w:sz w:val="32"/>
          <w:szCs w:val="32"/>
        </w:rPr>
      </w:pPr>
    </w:p>
    <w:p>
      <w:pPr>
        <w:spacing w:line="600" w:lineRule="exact"/>
        <w:rPr>
          <w:rFonts w:hint="eastAsia" w:ascii="仿宋_GB2312" w:hAnsi="宋体" w:eastAsia="仿宋_GB2312"/>
          <w:sz w:val="32"/>
          <w:szCs w:val="32"/>
        </w:rPr>
      </w:pPr>
    </w:p>
    <w:p>
      <w:pPr>
        <w:spacing w:line="600" w:lineRule="exact"/>
        <w:rPr>
          <w:rFonts w:hint="eastAsia" w:ascii="仿宋_GB2312" w:hAnsi="宋体" w:eastAsia="仿宋_GB2312"/>
          <w:sz w:val="32"/>
          <w:szCs w:val="32"/>
        </w:rPr>
      </w:pPr>
    </w:p>
    <w:p>
      <w:pPr>
        <w:spacing w:line="600" w:lineRule="exact"/>
        <w:rPr>
          <w:rFonts w:hint="eastAsia" w:ascii="仿宋_GB2312" w:hAnsi="宋体" w:eastAsia="仿宋_GB2312"/>
          <w:sz w:val="32"/>
          <w:szCs w:val="32"/>
        </w:rPr>
      </w:pPr>
    </w:p>
    <w:p>
      <w:pPr>
        <w:spacing w:line="600" w:lineRule="exact"/>
        <w:rPr>
          <w:rFonts w:hint="eastAsia" w:ascii="仿宋_GB2312" w:hAnsi="宋体" w:eastAsia="仿宋_GB2312"/>
          <w:sz w:val="32"/>
          <w:szCs w:val="32"/>
        </w:rPr>
      </w:pPr>
    </w:p>
    <w:p>
      <w:pPr>
        <w:spacing w:line="600" w:lineRule="exact"/>
        <w:rPr>
          <w:rFonts w:ascii="仿宋_GB2312" w:hAnsi="宋体" w:eastAsia="仿宋_GB2312"/>
          <w:sz w:val="32"/>
          <w:szCs w:val="32"/>
        </w:rPr>
        <w:sectPr>
          <w:headerReference r:id="rId17" w:type="first"/>
          <w:footerReference r:id="rId20" w:type="first"/>
          <w:headerReference r:id="rId15" w:type="default"/>
          <w:footerReference r:id="rId18" w:type="default"/>
          <w:headerReference r:id="rId16" w:type="even"/>
          <w:footerReference r:id="rId19" w:type="even"/>
          <w:pgSz w:w="16838" w:h="11906" w:orient="landscape"/>
          <w:pgMar w:top="1418" w:right="1440" w:bottom="1418" w:left="1440" w:header="851" w:footer="992" w:gutter="0"/>
          <w:cols w:space="720" w:num="1"/>
          <w:docGrid w:type="lines" w:linePitch="312" w:charSpace="0"/>
        </w:sectPr>
      </w:pPr>
    </w:p>
    <w:p>
      <w:pPr>
        <w:spacing w:before="156" w:beforeLines="50" w:after="156" w:afterLines="50" w:line="600" w:lineRule="exact"/>
        <w:rPr>
          <w:rFonts w:hint="eastAsia" w:ascii="仿宋_GB2312" w:hAnsi="宋体" w:eastAsia="仿宋_GB2312"/>
          <w:b/>
          <w:sz w:val="32"/>
          <w:szCs w:val="32"/>
        </w:rPr>
      </w:pPr>
      <w:r>
        <w:rPr>
          <w:rFonts w:hint="eastAsia" w:ascii="仿宋_GB2312" w:hAnsi="宋体" w:eastAsia="仿宋_GB2312"/>
          <w:sz w:val="32"/>
          <w:szCs w:val="32"/>
        </w:rPr>
        <w:t xml:space="preserve">附件2：            </w:t>
      </w:r>
      <w:r>
        <w:rPr>
          <w:rFonts w:hint="eastAsia" w:ascii="仿宋_GB2312" w:hAnsi="宋体" w:eastAsia="仿宋_GB2312"/>
          <w:b/>
          <w:sz w:val="32"/>
          <w:szCs w:val="32"/>
        </w:rPr>
        <w:t>十三五实训基地汇总</w:t>
      </w:r>
    </w:p>
    <w:tbl>
      <w:tblPr>
        <w:tblStyle w:val="26"/>
        <w:tblW w:w="10500" w:type="dxa"/>
        <w:jc w:val="center"/>
        <w:tblInd w:w="0" w:type="dxa"/>
        <w:tblLayout w:type="fixed"/>
        <w:tblCellMar>
          <w:top w:w="0" w:type="dxa"/>
          <w:left w:w="108" w:type="dxa"/>
          <w:bottom w:w="0" w:type="dxa"/>
          <w:right w:w="108" w:type="dxa"/>
        </w:tblCellMar>
      </w:tblPr>
      <w:tblGrid>
        <w:gridCol w:w="780"/>
        <w:gridCol w:w="900"/>
        <w:gridCol w:w="4120"/>
        <w:gridCol w:w="4700"/>
      </w:tblGrid>
      <w:tr>
        <w:tblPrEx>
          <w:tblLayout w:type="fixed"/>
          <w:tblCellMar>
            <w:top w:w="0" w:type="dxa"/>
            <w:left w:w="108" w:type="dxa"/>
            <w:bottom w:w="0" w:type="dxa"/>
            <w:right w:w="108" w:type="dxa"/>
          </w:tblCellMar>
        </w:tblPrEx>
        <w:trPr>
          <w:trHeight w:val="780" w:hRule="atLeast"/>
          <w:jc w:val="center"/>
        </w:trPr>
        <w:tc>
          <w:tcPr>
            <w:tcW w:w="7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建设时间</w:t>
            </w:r>
          </w:p>
        </w:tc>
        <w:tc>
          <w:tcPr>
            <w:tcW w:w="90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系别</w:t>
            </w:r>
          </w:p>
        </w:tc>
        <w:tc>
          <w:tcPr>
            <w:tcW w:w="412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拟建校内实践教学基地</w:t>
            </w:r>
            <w:r>
              <w:rPr>
                <w:rFonts w:hint="eastAsia" w:ascii="仿宋_GB2312" w:hAnsi="宋体" w:eastAsia="仿宋_GB2312" w:cs="宋体"/>
                <w:b/>
                <w:bCs/>
                <w:kern w:val="0"/>
                <w:sz w:val="28"/>
                <w:szCs w:val="28"/>
              </w:rPr>
              <w:br w:type="textWrapping"/>
            </w:r>
            <w:r>
              <w:rPr>
                <w:rFonts w:hint="eastAsia" w:ascii="仿宋_GB2312" w:hAnsi="宋体" w:eastAsia="仿宋_GB2312" w:cs="宋体"/>
                <w:b/>
                <w:bCs/>
                <w:kern w:val="0"/>
                <w:sz w:val="28"/>
                <w:szCs w:val="28"/>
              </w:rPr>
              <w:t>（实验、实训室名称）</w:t>
            </w:r>
          </w:p>
        </w:tc>
        <w:tc>
          <w:tcPr>
            <w:tcW w:w="4700"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拟建校外教学基地名称</w:t>
            </w:r>
          </w:p>
        </w:tc>
      </w:tr>
      <w:tr>
        <w:tblPrEx>
          <w:tblLayout w:type="fixed"/>
          <w:tblCellMar>
            <w:top w:w="0" w:type="dxa"/>
            <w:left w:w="108" w:type="dxa"/>
            <w:bottom w:w="0" w:type="dxa"/>
            <w:right w:w="108" w:type="dxa"/>
          </w:tblCellMar>
        </w:tblPrEx>
        <w:trPr>
          <w:trHeight w:val="420" w:hRule="atLeast"/>
          <w:jc w:val="center"/>
        </w:trPr>
        <w:tc>
          <w:tcPr>
            <w:tcW w:w="78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2016年</w:t>
            </w: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机电</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三维逆向工程实训室</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汕樟轻工实践教学基地</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粤东机电一体化技术实训基地（省级）</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汕头贝多电磁实践教学基地</w:t>
            </w:r>
          </w:p>
        </w:tc>
      </w:tr>
      <w:tr>
        <w:tblPrEx>
          <w:tblLayout w:type="fixed"/>
          <w:tblCellMar>
            <w:top w:w="0" w:type="dxa"/>
            <w:left w:w="108" w:type="dxa"/>
            <w:bottom w:w="0" w:type="dxa"/>
            <w:right w:w="108" w:type="dxa"/>
          </w:tblCellMar>
        </w:tblPrEx>
        <w:trPr>
          <w:trHeight w:val="40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计算机</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移动互联网实训室、Linux实训室</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广州国为信息科技有限公司</w:t>
            </w:r>
          </w:p>
        </w:tc>
      </w:tr>
      <w:tr>
        <w:tblPrEx>
          <w:tblLayout w:type="fixed"/>
          <w:tblCellMar>
            <w:top w:w="0" w:type="dxa"/>
            <w:left w:w="108" w:type="dxa"/>
            <w:bottom w:w="0" w:type="dxa"/>
            <w:right w:w="108" w:type="dxa"/>
          </w:tblCellMar>
        </w:tblPrEx>
        <w:trPr>
          <w:trHeight w:val="40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经管</w:t>
            </w:r>
          </w:p>
        </w:tc>
        <w:tc>
          <w:tcPr>
            <w:tcW w:w="41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建筑工程施工仿真与BIM实训室</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中税佳税务师事务所校外实训基地；</w:t>
            </w:r>
          </w:p>
        </w:tc>
      </w:tr>
      <w:tr>
        <w:tblPrEx>
          <w:tblLayout w:type="fixed"/>
          <w:tblCellMar>
            <w:top w:w="0" w:type="dxa"/>
            <w:left w:w="108" w:type="dxa"/>
            <w:bottom w:w="0" w:type="dxa"/>
            <w:right w:w="108" w:type="dxa"/>
          </w:tblCellMar>
        </w:tblPrEx>
        <w:trPr>
          <w:trHeight w:val="40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汕头市达濠建筑总公司校外实训基地</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人文</w:t>
            </w:r>
          </w:p>
        </w:tc>
        <w:tc>
          <w:tcPr>
            <w:tcW w:w="41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健康社区实训室</w:t>
            </w:r>
          </w:p>
        </w:tc>
        <w:tc>
          <w:tcPr>
            <w:tcW w:w="470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汕头市民政局“汕头市社工协会”实习实训基地</w:t>
            </w:r>
          </w:p>
        </w:tc>
      </w:tr>
      <w:tr>
        <w:tblPrEx>
          <w:tblLayout w:type="fixed"/>
          <w:tblCellMar>
            <w:top w:w="0" w:type="dxa"/>
            <w:left w:w="108" w:type="dxa"/>
            <w:bottom w:w="0" w:type="dxa"/>
            <w:right w:w="108" w:type="dxa"/>
          </w:tblCellMar>
        </w:tblPrEx>
        <w:trPr>
          <w:trHeight w:val="46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24"/>
                <w:szCs w:val="24"/>
              </w:rPr>
            </w:pPr>
          </w:p>
        </w:tc>
        <w:tc>
          <w:tcPr>
            <w:tcW w:w="470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汕头市“阳光公益”协会校外实训基地</w:t>
            </w:r>
          </w:p>
        </w:tc>
      </w:tr>
      <w:tr>
        <w:tblPrEx>
          <w:tblLayout w:type="fixed"/>
          <w:tblCellMar>
            <w:top w:w="0" w:type="dxa"/>
            <w:left w:w="108" w:type="dxa"/>
            <w:bottom w:w="0" w:type="dxa"/>
            <w:right w:w="108" w:type="dxa"/>
          </w:tblCellMar>
        </w:tblPrEx>
        <w:trPr>
          <w:trHeight w:val="85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电教</w:t>
            </w: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院本部：完成第二、四、六计算机实训室建设并验收交付使用，实施第一、九、十计算机实训室改造建设</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金园校区：第一多媒体教室、微格教室改造建设</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学前</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学前教育综合（含保育实训）实训室</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46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艺体</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摄影实训室</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45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自然</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环境监测实验室（室内污染部分）</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环境工程技术校外实习基地×1</w:t>
            </w:r>
          </w:p>
        </w:tc>
      </w:tr>
      <w:tr>
        <w:tblPrEx>
          <w:tblLayout w:type="fixed"/>
          <w:tblCellMar>
            <w:top w:w="0" w:type="dxa"/>
            <w:left w:w="108" w:type="dxa"/>
            <w:bottom w:w="0" w:type="dxa"/>
            <w:right w:w="108" w:type="dxa"/>
          </w:tblCellMar>
        </w:tblPrEx>
        <w:trPr>
          <w:trHeight w:val="405" w:hRule="atLeast"/>
          <w:jc w:val="center"/>
        </w:trPr>
        <w:tc>
          <w:tcPr>
            <w:tcW w:w="16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2016合计</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11个</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6个</w:t>
            </w:r>
          </w:p>
        </w:tc>
      </w:tr>
      <w:tr>
        <w:tblPrEx>
          <w:tblLayout w:type="fixed"/>
          <w:tblCellMar>
            <w:top w:w="0" w:type="dxa"/>
            <w:left w:w="108" w:type="dxa"/>
            <w:bottom w:w="0" w:type="dxa"/>
            <w:right w:w="108" w:type="dxa"/>
          </w:tblCellMar>
        </w:tblPrEx>
        <w:trPr>
          <w:trHeight w:val="285" w:hRule="atLeast"/>
          <w:jc w:val="center"/>
        </w:trPr>
        <w:tc>
          <w:tcPr>
            <w:tcW w:w="78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2017年</w:t>
            </w: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机电</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汽车专业高级人才培养实训基地</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汕头欧格精机科技实践教学基地</w:t>
            </w:r>
          </w:p>
        </w:tc>
      </w:tr>
      <w:tr>
        <w:tblPrEx>
          <w:tblLayout w:type="fixed"/>
          <w:tblCellMar>
            <w:top w:w="0" w:type="dxa"/>
            <w:left w:w="108" w:type="dxa"/>
            <w:bottom w:w="0" w:type="dxa"/>
            <w:right w:w="108" w:type="dxa"/>
          </w:tblCellMar>
        </w:tblPrEx>
        <w:trPr>
          <w:trHeight w:val="42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气动液压一体化实训室</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上海三菱电梯实践教学基地</w:t>
            </w:r>
          </w:p>
        </w:tc>
      </w:tr>
      <w:tr>
        <w:tblPrEx>
          <w:tblLayout w:type="fixed"/>
          <w:tblCellMar>
            <w:top w:w="0" w:type="dxa"/>
            <w:left w:w="108" w:type="dxa"/>
            <w:bottom w:w="0" w:type="dxa"/>
            <w:right w:w="108" w:type="dxa"/>
          </w:tblCellMar>
        </w:tblPrEx>
        <w:trPr>
          <w:trHeight w:val="40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数化字化技术研究与应用平台</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计算机</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现代通信网实训室</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广州中星集团有限公司</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经管</w:t>
            </w:r>
          </w:p>
        </w:tc>
        <w:tc>
          <w:tcPr>
            <w:tcW w:w="41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基于云计算经济管理类实训平台的建设（创新强校项目）</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立真会计师事务所校外实训基地</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汕头市档案馆校外实训基地</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汕头市中通快递公司校外实训基地</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41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w:t>
            </w:r>
          </w:p>
        </w:tc>
        <w:tc>
          <w:tcPr>
            <w:tcW w:w="470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汕头市龙湖区“珠池街道居委会”实习实训基地</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c>
          <w:tcPr>
            <w:tcW w:w="470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汕头市“龙光地产”社区物业管理与服务实习实训基地</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szCs w:val="24"/>
              </w:rPr>
            </w:pPr>
          </w:p>
        </w:tc>
        <w:tc>
          <w:tcPr>
            <w:tcW w:w="470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汕头市龙湖区“长者呼援”社会服务中心实习实训基地</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外语</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商务礼仪实训室</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70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电教</w:t>
            </w: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院本部：第五计算机实训室、第一多媒体教室、微格教室改造建设</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66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金园校区：第一、四计算机实训室改造建设，新建交互式教学观摩教室</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37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艺体</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雕塑实训室、模型制作实训室</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114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自然</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环境监测实验室（废水部分）、食品营养与检测实验室（食品理化检验室、微生物检验室、饮用水检测实验室）</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食品检测技术校外实习基地×2、环境工程技术校外实习基地×2</w:t>
            </w:r>
          </w:p>
        </w:tc>
      </w:tr>
      <w:tr>
        <w:tblPrEx>
          <w:tblLayout w:type="fixed"/>
          <w:tblCellMar>
            <w:top w:w="0" w:type="dxa"/>
            <w:left w:w="108" w:type="dxa"/>
            <w:bottom w:w="0" w:type="dxa"/>
            <w:right w:w="108" w:type="dxa"/>
          </w:tblCellMar>
        </w:tblPrEx>
        <w:trPr>
          <w:trHeight w:val="615" w:hRule="atLeast"/>
          <w:jc w:val="center"/>
        </w:trPr>
        <w:tc>
          <w:tcPr>
            <w:tcW w:w="16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2017年合计</w:t>
            </w:r>
          </w:p>
        </w:tc>
        <w:tc>
          <w:tcPr>
            <w:tcW w:w="41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xml:space="preserve">             10个</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xml:space="preserve">                13个</w:t>
            </w:r>
          </w:p>
        </w:tc>
      </w:tr>
      <w:tr>
        <w:tblPrEx>
          <w:tblLayout w:type="fixed"/>
          <w:tblCellMar>
            <w:top w:w="0" w:type="dxa"/>
            <w:left w:w="108" w:type="dxa"/>
            <w:bottom w:w="0" w:type="dxa"/>
            <w:right w:w="108" w:type="dxa"/>
          </w:tblCellMar>
        </w:tblPrEx>
        <w:trPr>
          <w:trHeight w:val="570" w:hRule="atLeast"/>
          <w:jc w:val="center"/>
        </w:trPr>
        <w:tc>
          <w:tcPr>
            <w:tcW w:w="78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2018年</w:t>
            </w: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计算机</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云端服务器平台</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广州易第优科技软件有限公司</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经管</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广东晖达工程顾问有限公司校外实训基地；新增3家（旅行社）旅游管理校外实训基地</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人文</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社区管理与服务</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助理社会工作师职业资格证书</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外语</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商务英语虚拟情景实训室</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电教</w:t>
            </w: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院本部：学术报告厅多媒体系统改造升级</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28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金园校区：第二、三多媒体教室改造</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自然</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环境监测实验室（大气部分）</w:t>
            </w:r>
            <w:r>
              <w:rPr>
                <w:rFonts w:hint="eastAsia" w:ascii="仿宋_GB2312" w:hAnsi="宋体" w:eastAsia="仿宋_GB2312" w:cs="宋体"/>
                <w:kern w:val="0"/>
                <w:sz w:val="24"/>
                <w:szCs w:val="24"/>
              </w:rPr>
              <w:br w:type="textWrapping"/>
            </w:r>
            <w:r>
              <w:rPr>
                <w:rFonts w:hint="eastAsia" w:ascii="仿宋_GB2312" w:hAnsi="宋体" w:eastAsia="仿宋_GB2312" w:cs="宋体"/>
                <w:kern w:val="0"/>
                <w:sz w:val="24"/>
                <w:szCs w:val="24"/>
              </w:rPr>
              <w:t>食品感官检验室</w:t>
            </w:r>
          </w:p>
        </w:tc>
        <w:tc>
          <w:tcPr>
            <w:tcW w:w="470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食品检测技术校外实习基地×2、</w:t>
            </w:r>
            <w:r>
              <w:rPr>
                <w:rFonts w:hint="eastAsia" w:ascii="仿宋_GB2312" w:hAnsi="宋体" w:eastAsia="仿宋_GB2312" w:cs="宋体"/>
                <w:kern w:val="0"/>
                <w:sz w:val="24"/>
                <w:szCs w:val="24"/>
              </w:rPr>
              <w:br w:type="textWrapping"/>
            </w:r>
            <w:r>
              <w:rPr>
                <w:rFonts w:hint="eastAsia" w:ascii="仿宋_GB2312" w:hAnsi="宋体" w:eastAsia="仿宋_GB2312" w:cs="宋体"/>
                <w:kern w:val="0"/>
                <w:sz w:val="24"/>
                <w:szCs w:val="24"/>
              </w:rPr>
              <w:t>环境工程技术校外实习基地×1</w:t>
            </w:r>
          </w:p>
        </w:tc>
      </w:tr>
      <w:tr>
        <w:tblPrEx>
          <w:tblLayout w:type="fixed"/>
          <w:tblCellMar>
            <w:top w:w="0" w:type="dxa"/>
            <w:left w:w="108" w:type="dxa"/>
            <w:bottom w:w="0" w:type="dxa"/>
            <w:right w:w="108" w:type="dxa"/>
          </w:tblCellMar>
        </w:tblPrEx>
        <w:trPr>
          <w:trHeight w:val="39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PLC实验室</w:t>
            </w:r>
          </w:p>
        </w:tc>
        <w:tc>
          <w:tcPr>
            <w:tcW w:w="47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Layout w:type="fixed"/>
          <w:tblCellMar>
            <w:top w:w="0" w:type="dxa"/>
            <w:left w:w="108" w:type="dxa"/>
            <w:bottom w:w="0" w:type="dxa"/>
            <w:right w:w="108" w:type="dxa"/>
          </w:tblCellMar>
        </w:tblPrEx>
        <w:trPr>
          <w:trHeight w:val="555" w:hRule="atLeast"/>
          <w:jc w:val="center"/>
        </w:trPr>
        <w:tc>
          <w:tcPr>
            <w:tcW w:w="16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2018年合计</w:t>
            </w:r>
          </w:p>
        </w:tc>
        <w:tc>
          <w:tcPr>
            <w:tcW w:w="41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xml:space="preserve">              7个</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xml:space="preserve">                 9个</w:t>
            </w:r>
          </w:p>
        </w:tc>
      </w:tr>
      <w:tr>
        <w:tblPrEx>
          <w:tblLayout w:type="fixed"/>
          <w:tblCellMar>
            <w:top w:w="0" w:type="dxa"/>
            <w:left w:w="108" w:type="dxa"/>
            <w:bottom w:w="0" w:type="dxa"/>
            <w:right w:w="108" w:type="dxa"/>
          </w:tblCellMar>
        </w:tblPrEx>
        <w:trPr>
          <w:trHeight w:val="570" w:hRule="atLeast"/>
          <w:jc w:val="center"/>
        </w:trPr>
        <w:tc>
          <w:tcPr>
            <w:tcW w:w="78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2019年</w:t>
            </w: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电教</w:t>
            </w: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院本部：第三计算机实训室、第二、三多媒体教室改造建设</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金园校区：第二、三计算机实训室改造建设</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615"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人文</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社区管理与服务</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养老护理员职业资格证书、婚姻家庭咨询师</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自然</w:t>
            </w: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环境监测实验室（土壤部分）、精密仪器检测实验室（食品环境共用）</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食品检测技术校外实习基地×2、环境工程技术校外实习基地×2</w:t>
            </w:r>
          </w:p>
        </w:tc>
      </w:tr>
      <w:tr>
        <w:tblPrEx>
          <w:tblLayout w:type="fixed"/>
          <w:tblCellMar>
            <w:top w:w="0" w:type="dxa"/>
            <w:left w:w="108" w:type="dxa"/>
            <w:bottom w:w="0" w:type="dxa"/>
            <w:right w:w="108" w:type="dxa"/>
          </w:tblCellMar>
        </w:tblPrEx>
        <w:trPr>
          <w:trHeight w:val="570" w:hRule="atLeast"/>
          <w:jc w:val="center"/>
        </w:trPr>
        <w:tc>
          <w:tcPr>
            <w:tcW w:w="16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2019合计</w:t>
            </w:r>
          </w:p>
        </w:tc>
        <w:tc>
          <w:tcPr>
            <w:tcW w:w="4120" w:type="dxa"/>
            <w:tcBorders>
              <w:top w:val="nil"/>
              <w:left w:val="nil"/>
              <w:bottom w:val="single" w:color="auto" w:sz="4" w:space="0"/>
              <w:right w:val="single" w:color="auto" w:sz="4" w:space="0"/>
            </w:tcBorders>
            <w:vAlign w:val="center"/>
          </w:tcPr>
          <w:p>
            <w:pPr>
              <w:widowControl/>
              <w:ind w:firstLine="1771" w:firstLineChars="735"/>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5个</w:t>
            </w:r>
          </w:p>
        </w:tc>
        <w:tc>
          <w:tcPr>
            <w:tcW w:w="4700" w:type="dxa"/>
            <w:tcBorders>
              <w:top w:val="nil"/>
              <w:left w:val="nil"/>
              <w:bottom w:val="single" w:color="auto" w:sz="4" w:space="0"/>
              <w:right w:val="single" w:color="auto" w:sz="4" w:space="0"/>
            </w:tcBorders>
            <w:vAlign w:val="center"/>
          </w:tcPr>
          <w:p>
            <w:pPr>
              <w:widowControl/>
              <w:ind w:firstLine="1997" w:firstLineChars="829"/>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8个</w:t>
            </w:r>
          </w:p>
        </w:tc>
      </w:tr>
      <w:tr>
        <w:tblPrEx>
          <w:tblLayout w:type="fixed"/>
          <w:tblCellMar>
            <w:top w:w="0" w:type="dxa"/>
            <w:left w:w="108" w:type="dxa"/>
            <w:bottom w:w="0" w:type="dxa"/>
            <w:right w:w="108" w:type="dxa"/>
          </w:tblCellMar>
        </w:tblPrEx>
        <w:trPr>
          <w:trHeight w:val="570" w:hRule="atLeast"/>
          <w:jc w:val="center"/>
        </w:trPr>
        <w:tc>
          <w:tcPr>
            <w:tcW w:w="78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2020年</w:t>
            </w:r>
          </w:p>
        </w:tc>
        <w:tc>
          <w:tcPr>
            <w:tcW w:w="90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电教</w:t>
            </w:r>
          </w:p>
        </w:tc>
        <w:tc>
          <w:tcPr>
            <w:tcW w:w="412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24"/>
                <w:szCs w:val="24"/>
              </w:rPr>
            </w:pPr>
            <w:r>
              <w:rPr>
                <w:rFonts w:hint="eastAsia" w:ascii="仿宋_GB2312" w:hAnsi="宋体" w:eastAsia="仿宋_GB2312" w:cs="宋体"/>
                <w:kern w:val="0"/>
                <w:sz w:val="24"/>
                <w:szCs w:val="24"/>
              </w:rPr>
              <w:t>院本部：第七、八计算机实训室改造建设</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570" w:hRule="atLeast"/>
          <w:jc w:val="center"/>
        </w:trPr>
        <w:tc>
          <w:tcPr>
            <w:tcW w:w="7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kern w:val="0"/>
                <w:sz w:val="24"/>
                <w:szCs w:val="24"/>
              </w:rPr>
            </w:pPr>
          </w:p>
        </w:tc>
        <w:tc>
          <w:tcPr>
            <w:tcW w:w="412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学生技能竞赛创新实训室（环境、食品）</w:t>
            </w:r>
          </w:p>
        </w:tc>
        <w:tc>
          <w:tcPr>
            <w:tcW w:w="47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Layout w:type="fixed"/>
          <w:tblCellMar>
            <w:top w:w="0" w:type="dxa"/>
            <w:left w:w="108" w:type="dxa"/>
            <w:bottom w:w="0" w:type="dxa"/>
            <w:right w:w="108" w:type="dxa"/>
          </w:tblCellMar>
        </w:tblPrEx>
        <w:trPr>
          <w:trHeight w:val="660" w:hRule="atLeast"/>
          <w:jc w:val="center"/>
        </w:trPr>
        <w:tc>
          <w:tcPr>
            <w:tcW w:w="16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2020年合计</w:t>
            </w:r>
          </w:p>
        </w:tc>
        <w:tc>
          <w:tcPr>
            <w:tcW w:w="41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xml:space="preserve">               2个</w:t>
            </w:r>
          </w:p>
        </w:tc>
        <w:tc>
          <w:tcPr>
            <w:tcW w:w="470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xml:space="preserve">                 0个</w:t>
            </w:r>
          </w:p>
        </w:tc>
      </w:tr>
    </w:tbl>
    <w:p>
      <w:pPr>
        <w:spacing w:line="600" w:lineRule="exact"/>
        <w:rPr>
          <w:rFonts w:ascii="仿宋_GB2312" w:hAnsi="宋体" w:eastAsia="仿宋_GB2312"/>
          <w:sz w:val="32"/>
          <w:szCs w:val="32"/>
        </w:rPr>
        <w:sectPr>
          <w:pgSz w:w="11906" w:h="16838"/>
          <w:pgMar w:top="1440" w:right="1531" w:bottom="1440" w:left="1588" w:header="851" w:footer="992" w:gutter="0"/>
          <w:cols w:space="720" w:num="1"/>
          <w:docGrid w:type="lines" w:linePitch="312" w:charSpace="0"/>
        </w:sectPr>
      </w:pPr>
    </w:p>
    <w:p>
      <w:pPr>
        <w:spacing w:line="600" w:lineRule="exact"/>
        <w:jc w:val="center"/>
        <w:rPr>
          <w:rFonts w:hint="eastAsia" w:ascii="宋体" w:hAnsi="宋体"/>
          <w:b/>
          <w:sz w:val="36"/>
          <w:szCs w:val="36"/>
        </w:rPr>
      </w:pPr>
      <w:r>
        <w:rPr>
          <w:rFonts w:hint="eastAsia" w:ascii="宋体" w:hAnsi="宋体"/>
          <w:b/>
          <w:sz w:val="36"/>
          <w:szCs w:val="36"/>
        </w:rPr>
        <w:t>汕头职业技术学信息化建设十三五发展规划</w:t>
      </w:r>
    </w:p>
    <w:p>
      <w:pPr>
        <w:spacing w:before="312" w:beforeLines="100" w:line="600" w:lineRule="exact"/>
        <w:jc w:val="center"/>
        <w:rPr>
          <w:rFonts w:hint="eastAsia" w:ascii="仿宋_GB2312" w:eastAsia="仿宋_GB2312"/>
          <w:sz w:val="36"/>
          <w:szCs w:val="36"/>
        </w:rPr>
      </w:pPr>
      <w:r>
        <w:rPr>
          <w:rFonts w:hint="eastAsia" w:ascii="仿宋_GB2312" w:eastAsia="仿宋_GB2312"/>
          <w:sz w:val="36"/>
          <w:szCs w:val="36"/>
        </w:rPr>
        <w:t>（2016-2020年）</w:t>
      </w:r>
    </w:p>
    <w:p>
      <w:pPr>
        <w:spacing w:line="600" w:lineRule="exact"/>
        <w:jc w:val="center"/>
        <w:rPr>
          <w:rFonts w:hint="eastAsia" w:ascii="仿宋_GB2312" w:eastAsia="仿宋_GB2312"/>
          <w:sz w:val="32"/>
          <w:szCs w:val="32"/>
        </w:rPr>
      </w:pP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现代信息技术的迅速发展，对学院教育产生了深刻影响。在教育过程中全面地运用以计算机、多媒体和网络通讯为基础的信息技术，有助于促进</w:t>
      </w:r>
      <w:r>
        <w:rPr>
          <w:rFonts w:hint="eastAsia" w:ascii="仿宋_GB2312" w:eastAsia="仿宋_GB2312"/>
          <w:sz w:val="32"/>
          <w:szCs w:val="32"/>
        </w:rPr>
        <w:fldChar w:fldCharType="begin"/>
      </w:r>
      <w:r>
        <w:rPr>
          <w:rFonts w:hint="eastAsia" w:ascii="仿宋_GB2312" w:eastAsia="仿宋_GB2312"/>
          <w:sz w:val="32"/>
          <w:szCs w:val="32"/>
        </w:rPr>
        <w:instrText xml:space="preserve">HYPERLINK "http://baike.baidu.com/view/43819.htm" \t "_blank"</w:instrText>
      </w:r>
      <w:r>
        <w:rPr>
          <w:rFonts w:hint="eastAsia" w:ascii="仿宋_GB2312" w:eastAsia="仿宋_GB2312"/>
          <w:sz w:val="32"/>
          <w:szCs w:val="32"/>
        </w:rPr>
        <w:fldChar w:fldCharType="separate"/>
      </w:r>
      <w:r>
        <w:rPr>
          <w:rFonts w:hint="eastAsia" w:ascii="仿宋_GB2312" w:hAnsi="仿宋" w:eastAsia="仿宋_GB2312"/>
          <w:sz w:val="32"/>
          <w:szCs w:val="32"/>
        </w:rPr>
        <w:t>教育教学改革</w:t>
      </w:r>
      <w:r>
        <w:rPr>
          <w:rFonts w:hint="eastAsia" w:ascii="仿宋_GB2312" w:eastAsia="仿宋_GB2312"/>
          <w:sz w:val="32"/>
          <w:szCs w:val="32"/>
        </w:rPr>
        <w:fldChar w:fldCharType="end"/>
      </w:r>
      <w:r>
        <w:rPr>
          <w:rFonts w:hint="eastAsia" w:ascii="仿宋_GB2312" w:hAnsi="仿宋" w:eastAsia="仿宋_GB2312"/>
          <w:sz w:val="32"/>
          <w:szCs w:val="32"/>
        </w:rPr>
        <w:t>，适应信息化社会对教育提出的新要求。高校信息化建设是一项长期性、基础性工作，立足于增强我院核心竞争力，为区域经济发展提供高素质、高技术、高技能应用型专门人才和多样化社会服务的需求，逐步由“管理信息化”向“服务信息化”转变，建设一个既符合校园信息化技术发展趋势，又贴合用户使用习惯的新一代智慧校园。</w:t>
      </w:r>
    </w:p>
    <w:p>
      <w:pPr>
        <w:pStyle w:val="2"/>
        <w:adjustRightInd w:val="0"/>
        <w:spacing w:before="0" w:after="0" w:line="600" w:lineRule="exact"/>
        <w:ind w:firstLine="787" w:firstLineChars="245"/>
        <w:rPr>
          <w:rFonts w:hint="eastAsia" w:ascii="仿宋_GB2312" w:hAnsi="黑体" w:eastAsia="仿宋_GB2312" w:cs="仿宋_GB2312"/>
          <w:bCs w:val="0"/>
          <w:sz w:val="32"/>
          <w:szCs w:val="32"/>
        </w:rPr>
      </w:pPr>
      <w:bookmarkStart w:id="17" w:name="_Toc420422019"/>
      <w:bookmarkStart w:id="18" w:name="_Toc417240130"/>
      <w:bookmarkStart w:id="19" w:name="_Toc270361824"/>
      <w:bookmarkStart w:id="20" w:name="_Toc417240573"/>
      <w:r>
        <w:rPr>
          <w:rFonts w:hint="eastAsia" w:ascii="仿宋_GB2312" w:hAnsi="黑体" w:eastAsia="仿宋_GB2312" w:cs="仿宋_GB2312"/>
          <w:bCs w:val="0"/>
          <w:sz w:val="32"/>
          <w:szCs w:val="32"/>
        </w:rPr>
        <w:t>一、我院信息化建设的现状与</w:t>
      </w:r>
      <w:bookmarkEnd w:id="17"/>
      <w:bookmarkEnd w:id="18"/>
      <w:bookmarkEnd w:id="19"/>
      <w:bookmarkEnd w:id="20"/>
      <w:r>
        <w:rPr>
          <w:rFonts w:hint="eastAsia" w:ascii="仿宋_GB2312" w:hAnsi="黑体" w:eastAsia="仿宋_GB2312" w:cs="仿宋_GB2312"/>
          <w:bCs w:val="0"/>
          <w:sz w:val="32"/>
          <w:szCs w:val="32"/>
        </w:rPr>
        <w:t>面临挑战</w:t>
      </w:r>
    </w:p>
    <w:p>
      <w:pPr>
        <w:pStyle w:val="3"/>
        <w:adjustRightInd w:val="0"/>
        <w:snapToGrid w:val="0"/>
        <w:spacing w:before="0" w:after="0" w:line="600" w:lineRule="exact"/>
        <w:ind w:firstLine="643" w:firstLineChars="200"/>
        <w:rPr>
          <w:rFonts w:hint="eastAsia" w:ascii="仿宋_GB2312" w:hAnsi="黑体" w:eastAsia="仿宋_GB2312" w:cs="仿宋_GB2312"/>
          <w:bCs w:val="0"/>
        </w:rPr>
      </w:pPr>
      <w:bookmarkStart w:id="21" w:name="_Toc417240131"/>
      <w:bookmarkStart w:id="22" w:name="_Toc270361825"/>
      <w:bookmarkStart w:id="23" w:name="_Toc420422020"/>
      <w:bookmarkStart w:id="24" w:name="_Toc417240574"/>
      <w:r>
        <w:rPr>
          <w:rFonts w:hint="eastAsia" w:ascii="仿宋_GB2312" w:hAnsi="黑体" w:eastAsia="仿宋_GB2312" w:cs="仿宋_GB2312"/>
          <w:bCs w:val="0"/>
        </w:rPr>
        <w:t>（一）“十二五”信息化建设情况总结</w:t>
      </w:r>
      <w:bookmarkEnd w:id="21"/>
      <w:bookmarkEnd w:id="22"/>
      <w:bookmarkEnd w:id="23"/>
      <w:bookmarkEnd w:id="24"/>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1.已初步建成校园网。以学院图书信息大楼为核心，覆盖学院本部及各校区的主要教学场所和办公场所，校园网通过汕头电信提供的100M(原承诺500M，后因省严控审校流程而降低带宽)带宽接入互联网，以34M带宽接入中国教育科研网（Cernet），以10M带宽接入广东省基础教育专网校园门户网站。</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2.新建门户网站正式运行。学院于今年5月31日正式运行新门户网站，并完成公信部报备、完成学院网站开办资格复核申请，申领“事业单位”标识证书。网站安装蓝盾网页防篡改系统，实行信息发布 “先审后发”的“三级审核”制度，由学院党委宣传部严格把控审批程序，网络信息中心保障网站正常运维及安全保障工作。</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完成信息化平台建设验收。此次信息化平台建设项目全面规范实施的工作重点是KINGOSOFT高校教务网络管理系统（简称教务管理系统）和KINGOSOFT高校学生综合管理系统（简称学生管理系统）两个系统项目。项目经前期充分酝酿筹备，于2015年4月24日正式启动，先后制订并执行了《汕头职业技术学院首期信息化平台建设项目全面规范实施工作计划》、《汕头职业技术学院首期信息化平台建设岗位任务书》、《基础数据编码命名问题与解决方案》、《汕头职业技术学院课程规范》、《关于对我院各专业课程实行编号的通知（汕职院教</w:t>
      </w:r>
      <w:r>
        <w:rPr>
          <w:rFonts w:hint="eastAsia" w:ascii="仿宋_GB2312" w:hAnsi="仿宋" w:eastAsia="仿宋"/>
          <w:sz w:val="32"/>
          <w:szCs w:val="32"/>
        </w:rPr>
        <w:t>﹝</w:t>
      </w:r>
      <w:r>
        <w:rPr>
          <w:rFonts w:hint="eastAsia" w:ascii="仿宋_GB2312" w:hAnsi="仿宋" w:eastAsia="仿宋_GB2312"/>
          <w:sz w:val="32"/>
          <w:szCs w:val="32"/>
        </w:rPr>
        <w:t>2015</w:t>
      </w:r>
      <w:r>
        <w:rPr>
          <w:rFonts w:hint="eastAsia" w:ascii="仿宋_GB2312" w:hAnsi="仿宋" w:eastAsia="仿宋"/>
          <w:sz w:val="32"/>
          <w:szCs w:val="32"/>
        </w:rPr>
        <w:t>﹞</w:t>
      </w:r>
      <w:r>
        <w:rPr>
          <w:rFonts w:hint="eastAsia" w:ascii="仿宋_GB2312" w:hAnsi="仿宋" w:eastAsia="仿宋_GB2312"/>
          <w:sz w:val="32"/>
          <w:szCs w:val="32"/>
        </w:rPr>
        <w:t>07号）》、《汕头职业技术学院课程编码规则》、《关于规范学院信息化平台系统管理有关事项的通知》、《学院信息化平台系统各级管理员主要职责》等制度及规范，明确了总体工作计划、岗位职责及具体任务，确定各级系统管理员及其职责，确保责任到人到岗，各司其职，协作配合；统一了基础数据、学系、专业、课程及学号等编码规则，使录入管理系统的数据统一、严谨、规范。2015年12月22日，学院完成信息平台的验收，经过近一年的运行，2016年10月，已完成全体在校学生数据在库，10月20日，学院召开信息化建设管理平台推进会，进一步明确新学年在双系统的工作要求和进度。</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4.信息化工作进一步规范。学院2015年11月24日成立了网络安全与信息化领导小组，由学院党政主要领导任组长；成立了信息化领导小组办公室，由分管信息化工作校领导任组长，成立了网络信息中心，负责信息化具体工作，出台了信息化工作管理办法，实现了信息化顶层设计统筹及信息化建设经费的统筹。</w:t>
      </w:r>
    </w:p>
    <w:p>
      <w:pPr>
        <w:pStyle w:val="3"/>
        <w:adjustRightInd w:val="0"/>
        <w:snapToGrid w:val="0"/>
        <w:spacing w:before="0" w:after="0" w:line="600" w:lineRule="exact"/>
        <w:ind w:firstLine="643" w:firstLineChars="200"/>
        <w:rPr>
          <w:rFonts w:hint="eastAsia" w:ascii="仿宋_GB2312" w:hAnsi="黑体" w:eastAsia="仿宋_GB2312" w:cs="仿宋_GB2312"/>
          <w:bCs w:val="0"/>
        </w:rPr>
      </w:pPr>
      <w:r>
        <w:rPr>
          <w:rFonts w:hint="eastAsia" w:ascii="仿宋_GB2312" w:hAnsi="黑体" w:eastAsia="仿宋_GB2312" w:cs="仿宋_GB2312"/>
          <w:bCs w:val="0"/>
        </w:rPr>
        <w:t>（二）“十二五”信息化建设存在的主要问题</w:t>
      </w:r>
    </w:p>
    <w:p>
      <w:pPr>
        <w:pStyle w:val="8"/>
        <w:spacing w:line="60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我院的信息化水平与我院建设发展不相适应，与国内各高校的信息化建设发展差距较大；信息化建设投入相对较低，各部门学系子网站建成时期不同，开发技术不同，与门户网站风格不一且存在被攻击、被篡改风险；对信息化建设的认识程度有待提高，全员信息化素养和信息技术应用能力亟待提升，信息化队伍建设亟待加强。</w:t>
      </w:r>
    </w:p>
    <w:p>
      <w:pPr>
        <w:pStyle w:val="8"/>
        <w:spacing w:line="60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学院的信息化水平发展到现今阶段，信息化工作重点要解决好两个核心问题：一是规划发展的问题，二是提升系统安全稳定，服务质量的问题。根据高等教育领域信息化的发展趋势，信息系统的建设不再局限于某个部门或某项事务的管理，对信息的需求从简单的基本信息共享服务和单一校务管理，向深层次的综合业务服务管理与决策分析发展。基于这样的发展理念，未来五年，我院信息化建设工作规划如下。</w:t>
      </w:r>
    </w:p>
    <w:p>
      <w:pPr>
        <w:pStyle w:val="2"/>
        <w:adjustRightInd w:val="0"/>
        <w:spacing w:before="0" w:after="0" w:line="600" w:lineRule="exact"/>
        <w:ind w:firstLine="643" w:firstLineChars="200"/>
        <w:rPr>
          <w:rFonts w:hint="eastAsia" w:ascii="仿宋_GB2312" w:hAnsi="黑体" w:eastAsia="仿宋_GB2312" w:cs="仿宋_GB2312"/>
          <w:bCs w:val="0"/>
          <w:sz w:val="32"/>
          <w:szCs w:val="32"/>
        </w:rPr>
      </w:pPr>
      <w:bookmarkStart w:id="25" w:name="_Toc417240578"/>
      <w:bookmarkStart w:id="26" w:name="_Toc417240135"/>
      <w:bookmarkStart w:id="27" w:name="_Toc270498027"/>
      <w:bookmarkStart w:id="28" w:name="_Toc420422025"/>
      <w:r>
        <w:rPr>
          <w:rFonts w:hint="eastAsia" w:ascii="仿宋_GB2312" w:hAnsi="黑体" w:eastAsia="仿宋_GB2312" w:cs="仿宋_GB2312"/>
          <w:bCs w:val="0"/>
          <w:sz w:val="32"/>
          <w:szCs w:val="32"/>
        </w:rPr>
        <w:t>二、“十三五”信息化建设</w:t>
      </w:r>
      <w:bookmarkEnd w:id="25"/>
      <w:bookmarkEnd w:id="26"/>
      <w:bookmarkEnd w:id="27"/>
      <w:bookmarkEnd w:id="28"/>
      <w:r>
        <w:rPr>
          <w:rFonts w:hint="eastAsia" w:ascii="仿宋_GB2312" w:hAnsi="黑体" w:eastAsia="仿宋_GB2312" w:cs="仿宋_GB2312"/>
          <w:bCs w:val="0"/>
          <w:sz w:val="32"/>
          <w:szCs w:val="32"/>
        </w:rPr>
        <w:t>的思路</w:t>
      </w:r>
    </w:p>
    <w:p>
      <w:pPr>
        <w:pStyle w:val="3"/>
        <w:adjustRightInd w:val="0"/>
        <w:snapToGrid w:val="0"/>
        <w:spacing w:before="0" w:after="0" w:line="600" w:lineRule="exact"/>
        <w:ind w:firstLine="643" w:firstLineChars="200"/>
        <w:rPr>
          <w:rFonts w:hint="eastAsia" w:ascii="仿宋_GB2312" w:hAnsi="黑体" w:eastAsia="仿宋_GB2312" w:cs="仿宋_GB2312"/>
          <w:bCs w:val="0"/>
        </w:rPr>
      </w:pPr>
      <w:r>
        <w:rPr>
          <w:rFonts w:hint="eastAsia" w:ascii="仿宋_GB2312" w:hAnsi="黑体" w:eastAsia="仿宋_GB2312" w:cs="仿宋_GB2312"/>
          <w:bCs w:val="0"/>
        </w:rPr>
        <w:t>（一）制定学院长、中、近期信息化建设规划。</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1.指导思想</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紧密围绕学院的发展战略，以学院的核心工作为服务重点，提高信息化应用水平，促进信息技术与教育教学有效融合，促进信息技术与实训就业有效融合，坚持以“服务导向、统筹规划、分步实施、重点突破”为指导思想，建成数字校园，发展智慧校园，促进学院信息化工作向稳步提升，让信息化在教育教学、科研开发、管理决策、实训就业等方面发挥积极的作用，构建学院信息化环境并保持可持续的发展。</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2.建设目标</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计划到2020年，建成一个有线为主、无线为辅，规范、安全、可靠的网络与信息化环境，全面实现系统的互联互通，建成高效便捷的电子校务，为师生提供一站式信息化服务，为管理人员提供高效的信息化手段，为现代化教学提供有效的技术支撑，为领导提供数据分析</w:t>
      </w:r>
      <w:bookmarkStart w:id="29" w:name="page11"/>
      <w:bookmarkEnd w:id="29"/>
      <w:r>
        <w:rPr>
          <w:rFonts w:hint="eastAsia" w:ascii="仿宋_GB2312" w:hAnsi="仿宋" w:eastAsia="仿宋_GB2312"/>
          <w:sz w:val="32"/>
          <w:szCs w:val="32"/>
        </w:rPr>
        <w:t>及决策支持。逐步由“管理信息化”向“服务信息化”转变，运用“互联网思维”来探索校园信息化建设的新思路和新途径，坚持以服务为目标，以师生为核心，建设一个既符合校园信息化技术发展趋势，又贴合用户使用习惯的新一代智慧校园。</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3.总体架构</w:t>
      </w:r>
    </w:p>
    <w:p>
      <w:pPr>
        <w:spacing w:line="600" w:lineRule="exact"/>
        <w:ind w:firstLine="960" w:firstLineChars="300"/>
        <w:jc w:val="left"/>
        <w:rPr>
          <w:rFonts w:hint="eastAsia" w:ascii="仿宋_GB2312" w:hAnsi="仿宋" w:eastAsia="仿宋_GB2312"/>
          <w:sz w:val="32"/>
          <w:szCs w:val="32"/>
        </w:rPr>
      </w:pPr>
      <w:r>
        <w:rPr>
          <w:rFonts w:hint="eastAsia" w:ascii="仿宋_GB2312" w:hAnsi="仿宋" w:eastAsia="仿宋_GB2312"/>
          <w:sz w:val="32"/>
          <w:szCs w:val="32"/>
        </w:rPr>
        <w:t>息化总体架构主要包括公共网络支撑平台、公共硬件支撑平台、公共计算资源平台、公共应用服务平台和用户应用展现中心平台五个层面，以及标准规范、运维监控和信息安全三个保障体系（图1）。</w:t>
      </w:r>
    </w:p>
    <w:p>
      <w:pPr>
        <w:spacing w:line="600" w:lineRule="exact"/>
        <w:ind w:firstLine="960" w:firstLineChars="300"/>
        <w:jc w:val="left"/>
        <w:rPr>
          <w:rFonts w:hint="eastAsia" w:ascii="仿宋_GB2312" w:hAnsi="仿宋" w:eastAsia="仿宋_GB2312"/>
          <w:sz w:val="32"/>
          <w:szCs w:val="32"/>
        </w:rPr>
      </w:pPr>
    </w:p>
    <w:p>
      <w:pPr>
        <w:spacing w:line="600" w:lineRule="exact"/>
        <w:ind w:firstLine="960" w:firstLineChars="300"/>
        <w:jc w:val="left"/>
        <w:rPr>
          <w:rFonts w:hint="eastAsia" w:ascii="仿宋_GB2312" w:hAnsi="仿宋" w:eastAsia="仿宋_GB2312"/>
          <w:sz w:val="32"/>
          <w:szCs w:val="32"/>
        </w:rPr>
      </w:pPr>
    </w:p>
    <w:p>
      <w:pPr>
        <w:spacing w:line="600" w:lineRule="exact"/>
        <w:ind w:firstLine="960" w:firstLineChars="300"/>
        <w:jc w:val="left"/>
        <w:rPr>
          <w:rFonts w:hint="eastAsia" w:ascii="仿宋_GB2312" w:hAnsi="仿宋" w:eastAsia="仿宋_GB2312"/>
          <w:sz w:val="32"/>
          <w:szCs w:val="32"/>
        </w:rPr>
      </w:pPr>
    </w:p>
    <w:p>
      <w:pPr>
        <w:spacing w:line="600" w:lineRule="exact"/>
        <w:ind w:firstLine="960" w:firstLineChars="300"/>
        <w:jc w:val="left"/>
        <w:rPr>
          <w:rFonts w:hint="eastAsia" w:ascii="仿宋_GB2312" w:hAnsi="仿宋" w:eastAsia="仿宋_GB2312"/>
          <w:sz w:val="32"/>
          <w:szCs w:val="32"/>
        </w:rPr>
      </w:pPr>
    </w:p>
    <w:p>
      <w:pPr>
        <w:spacing w:line="600" w:lineRule="exact"/>
        <w:ind w:firstLine="960" w:firstLineChars="300"/>
        <w:jc w:val="left"/>
        <w:rPr>
          <w:rFonts w:hint="eastAsia" w:ascii="仿宋_GB2312" w:hAnsi="仿宋" w:eastAsia="仿宋_GB2312"/>
          <w:sz w:val="32"/>
          <w:szCs w:val="32"/>
        </w:rPr>
      </w:pPr>
    </w:p>
    <w:p>
      <w:pPr>
        <w:spacing w:line="600" w:lineRule="exact"/>
        <w:ind w:firstLine="960" w:firstLineChars="300"/>
        <w:jc w:val="left"/>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r>
        <w:rPr>
          <w:rFonts w:hint="eastAsia" w:ascii="仿宋_GB2312" w:hAnsi="仿宋" w:eastAsia="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133350</wp:posOffset>
                </wp:positionH>
                <wp:positionV relativeFrom="paragraph">
                  <wp:posOffset>-495300</wp:posOffset>
                </wp:positionV>
                <wp:extent cx="5600700" cy="4664075"/>
                <wp:effectExtent l="0" t="0" r="0" b="9525"/>
                <wp:wrapNone/>
                <wp:docPr id="4" name="文本框 5"/>
                <wp:cNvGraphicFramePr/>
                <a:graphic xmlns:a="http://schemas.openxmlformats.org/drawingml/2006/main">
                  <a:graphicData uri="http://schemas.microsoft.com/office/word/2010/wordprocessingShape">
                    <wps:wsp>
                      <wps:cNvSpPr txBox="1"/>
                      <wps:spPr>
                        <a:xfrm>
                          <a:off x="0" y="0"/>
                          <a:ext cx="5600700" cy="4664075"/>
                        </a:xfrm>
                        <a:prstGeom prst="rect">
                          <a:avLst/>
                        </a:prstGeom>
                        <a:solidFill>
                          <a:srgbClr val="FFFFFF"/>
                        </a:solidFill>
                        <a:ln w="9525">
                          <a:noFill/>
                        </a:ln>
                      </wps:spPr>
                      <wps:txbx>
                        <w:txbxContent>
                          <w:p>
                            <w:r>
                              <w:rPr>
                                <w:rFonts w:hint="eastAsia"/>
                                <w:lang w:val="en-US" w:eastAsia="zh-CN"/>
                              </w:rPr>
                              <w:t xml:space="preserve">   </w:t>
                            </w:r>
                          </w:p>
                        </w:txbxContent>
                      </wps:txbx>
                      <wps:bodyPr wrap="square" upright="1"/>
                    </wps:wsp>
                  </a:graphicData>
                </a:graphic>
              </wp:anchor>
            </w:drawing>
          </mc:Choice>
          <mc:Fallback>
            <w:pict>
              <v:shape id="文本框 5" o:spid="_x0000_s1026" o:spt="202" type="#_x0000_t202" style="position:absolute;left:0pt;margin-left:10.5pt;margin-top:-39pt;height:367.25pt;width:441pt;z-index:251661312;mso-width-relative:page;mso-height-relative:page;" fillcolor="#FFFFFF" filled="t" stroked="f" coordsize="21600,21600" o:gfxdata="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F4KlYNgAAAAKAQAADwAAAAAAAAABACAAAAAiAAAAZHJzL2Rvd25yZXYueG1sUEsBAhQA&#10;FAAAAAgAh07iQGQGmJm5AQAAQQMAAA4AAAAAAAAAAQAgAAAAJwEAAGRycy9lMm9Eb2MueG1sUEsF&#10;BgAAAAAGAAYAWQEAAFIFAAAAAA==&#10;">
                <v:fill on="t" focussize="0,0"/>
                <v:stroke on="f"/>
                <v:imagedata o:title=""/>
                <o:lock v:ext="edit" aspectratio="f"/>
                <v:textbox>
                  <w:txbxContent>
                    <w:p>
                      <w:r>
                        <w:rPr>
                          <w:rFonts w:hint="eastAsia"/>
                          <w:lang w:val="en-US" w:eastAsia="zh-CN"/>
                        </w:rPr>
                        <w:t xml:space="preserve">   </w:t>
                      </w:r>
                    </w:p>
                  </w:txbxContent>
                </v:textbox>
              </v:shape>
            </w:pict>
          </mc:Fallback>
        </mc:AlternateContent>
      </w: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p>
    <w:p>
      <w:pPr>
        <w:spacing w:line="600" w:lineRule="exact"/>
        <w:jc w:val="center"/>
        <w:rPr>
          <w:rFonts w:hint="eastAsia" w:ascii="仿宋_GB2312" w:hAnsi="仿宋" w:eastAsia="仿宋_GB2312"/>
          <w:sz w:val="32"/>
          <w:szCs w:val="32"/>
        </w:rPr>
      </w:pPr>
      <w:r>
        <w:rPr>
          <w:rFonts w:hint="eastAsia" w:ascii="仿宋_GB2312" w:hAnsi="仿宋" w:eastAsia="仿宋_GB2312"/>
          <w:sz w:val="32"/>
          <w:szCs w:val="32"/>
        </w:rPr>
        <w:t>图1 智慧汕职总体框架图</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通过五个层面、三个体系的建设实现系统的互联互通，数据的交换与共享，建成安全、便捷的信息化环境，满足师生及学院发展的需求。具体规划内容可分为五个层次和三大保障体系，包括如下：</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公共网络支撑平台：升级改造校园网，实现无线网络建设。</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以校园网络总体结构为框架，实现校园网基础架构万兆升级，构建学院无线网络，创建校园优质网络环境，为智慧汕职的构建提供必要的基础网络保障。</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公共硬件支撑平台：创新驱动，完善配套基础设施。</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进一步加强基础硬件平台建设，建成新数据中心和异地灾备中心，提供完善的硬件配套设施，为智慧校园建设提供坚实的基础硬件平台保障。构建公共计算资源平台，通过高性能计算和虚拟化云技术，实现各类资源的动态调整和有效分配。</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公共应用服务平台：服务导向，推进管理教学服务。</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升级完善公共信息服务平台，提升一期建设成果，深入推进电子校务建设，并为公共管理服务平台和公共教学资源平台提供框架基础；完善应用系统建设，构建师生数据的全周期管理，通过更开放的服务平台、更强的服务粘性、更多元的服务提供、更智能的服务匹配、更友好的服务展现，有效促进管理信息化向服务信息化的转变；丰富资源建设方式，改善资源建设效率，有效实践资源的有效传播和教学的互动协作；创新教育模式和学习方式，加强优质教育资源和信息化学习环境建设，推进信息技术与教育教学的全面深度融合。以“移动终端服务”为亮点，基于移动服务平台，打造新型智能服务终端，深化利用信息技术、拓展资源获取手段。</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信息化标准规范体系：统一规范，建设校级数据字典。</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建立信息化标准的管理体系，保证信息统一规范，使学院信息化建设得到长期协调和可持续发展。在数据标准实际执行过程中进行监控，哪些系统已经参照了，哪些系统没有参照，以及后期再次接入进来的新系统，有没有参照校级信息标准建设都要进行跟踪和迭代。</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综合业务监控服务体系：安全严谨，打造 IT 精细化管理。</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以“数据存储安全、访问权限严谨”为基础，以“安全运行、优质服务、创造价值”为目标，实现对 IT 环境中各类基础设施的集中式监控管理，包含网络、系统、安全设备、数据库、中间件、业务系统、存储设备和机房环境等系统的监控管理。</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安全保障体系：安全可靠，保障应用系统稳定运行。</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信息安全是数字校园正常工作的保证，加强信息安全宣传与教育，建立安全可靠的保障体系，形成网络安全、数据安全、信息系统安全的信息化基础环境。</w:t>
      </w:r>
    </w:p>
    <w:p>
      <w:pPr>
        <w:spacing w:line="60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4.建设思路</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以“移动化、服务化”为导向，融合“大数据、移动、云计算”等智慧校园热点，建设整体数字化校园开放性生态体系。首先，进一步加强信息化基础性保障性工作，升级校园网基础设施、扩容校园网出口带宽、加强无线网络建设、启动灾备机房建设等，力争在标准性、开放性、兼容性、可扩充性上满足智慧校园整体建设的要求，为智慧校园建设提供可靠有力的公共支撑。其次，启动公共信息服务平台项目，提升智慧校园信息化水平。通过建设 OA、人事管理、财务管理、教务管理、学生管理、资产管理、科研管理、数字图书等应用系统，有效提高了日常工作效率，节约学院日常运行成本，为师生提供便捷的数字化环境，对学院管理、教学、科研等核心工作发挥基础支撑作用。再次，完成数据交换共享平台、身份管理平台、统一信息门户平台等三大平台的建设；起草了信息标准规范，完成了多个业务系统认证集成和数据集成；新建、升级了一批业务管理系统，推动了学院信息化的可持续发展。同时，通过数字化校园项目进一步建设，构造出能够满足信息化应用长期持续发展的应用框架，通过这一稳定、可扩展的应用框架为应用系统建设提供良好的支撑和服务。</w:t>
      </w:r>
    </w:p>
    <w:p>
      <w:pPr>
        <w:pStyle w:val="3"/>
        <w:adjustRightInd w:val="0"/>
        <w:snapToGrid w:val="0"/>
        <w:spacing w:before="0" w:after="0" w:line="600" w:lineRule="exact"/>
        <w:ind w:firstLine="643" w:firstLineChars="200"/>
        <w:rPr>
          <w:rFonts w:hint="eastAsia" w:ascii="仿宋_GB2312" w:hAnsi="黑体" w:eastAsia="仿宋_GB2312" w:cs="仿宋_GB2312"/>
          <w:bCs w:val="0"/>
        </w:rPr>
      </w:pPr>
      <w:r>
        <w:rPr>
          <w:rFonts w:hint="eastAsia" w:ascii="仿宋_GB2312" w:hAnsi="黑体" w:eastAsia="仿宋_GB2312" w:cs="仿宋_GB2312"/>
          <w:bCs w:val="0"/>
        </w:rPr>
        <w:t>（二）建设任务</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十三五期间，重点开展六项建设任务：公共基础支撑平台建设、公共应用基础平台建设、公共应用服务平台建设、公共信息资源平台建设、智能物联网平台建设、运维与安全保障体系建设。</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公共基础支撑平台建设</w:t>
      </w:r>
    </w:p>
    <w:p>
      <w:pPr>
        <w:spacing w:line="600" w:lineRule="exact"/>
        <w:ind w:firstLine="600"/>
        <w:jc w:val="left"/>
        <w:rPr>
          <w:rFonts w:hint="eastAsia" w:ascii="仿宋_GB2312" w:hAnsi="仿宋" w:eastAsia="仿宋_GB2312"/>
          <w:b/>
          <w:sz w:val="32"/>
          <w:szCs w:val="32"/>
        </w:rPr>
      </w:pPr>
      <w:r>
        <w:rPr>
          <w:rFonts w:hint="eastAsia" w:ascii="仿宋_GB2312" w:hAnsi="仿宋" w:eastAsia="仿宋_GB2312"/>
          <w:b/>
          <w:sz w:val="32"/>
          <w:szCs w:val="32"/>
        </w:rPr>
        <w:t>1.公共网络支撑平台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进一步加强信息化基础保障工作，升级校园网基础设施，在充分满足基本需求的同时，使整个网络具备先进性、高扩展性和高可靠性，能进行高质量的多业务承载，构建高品质的下一代万兆校园网，为智慧校园建设提供优质的基础网络平台保障。</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b/>
          <w:sz w:val="32"/>
          <w:szCs w:val="32"/>
        </w:rPr>
        <w:t>（1）升级网络基础设施并扩容校园网出口带宽。</w:t>
      </w:r>
      <w:r>
        <w:rPr>
          <w:rFonts w:hint="eastAsia" w:ascii="仿宋_GB2312" w:hAnsi="仿宋" w:eastAsia="仿宋_GB2312"/>
          <w:sz w:val="32"/>
          <w:szCs w:val="32"/>
        </w:rPr>
        <w:t>校园网的主干链路目前为千兆，随着信息化应用的飞速发展，各类高清在线视频以及MOOC学习等大流量的实时应用不断涌现，千兆主干链路存在着传输瓶颈问题，考虑将校园网主干链路升级到万兆，以提供更优质的网络应用服务，为智慧校园建设提供可靠有力的公共支撑。</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b/>
          <w:sz w:val="32"/>
          <w:szCs w:val="32"/>
        </w:rPr>
        <w:t>（2）提升校园网性能，实现无线网全覆盖。</w:t>
      </w:r>
      <w:r>
        <w:rPr>
          <w:rFonts w:hint="eastAsia" w:ascii="仿宋_GB2312" w:hAnsi="仿宋" w:eastAsia="仿宋_GB2312"/>
          <w:sz w:val="32"/>
          <w:szCs w:val="32"/>
        </w:rPr>
        <w:t>建设先进的基础校园网络平台。根据网络技术发展趋势，启动无线校园网项目建设，实现学院无线网络全覆盖，实现高速、稳定互联，力争在标准性、开放性、兼容性、可扩充性上满足智慧校园整体建设的要求，实现学院的无线全覆盖，为开发和部署校园移动应用创造条件。</w:t>
      </w:r>
    </w:p>
    <w:p>
      <w:pPr>
        <w:spacing w:line="600" w:lineRule="exact"/>
        <w:ind w:firstLine="600"/>
        <w:jc w:val="left"/>
        <w:rPr>
          <w:rFonts w:hint="eastAsia" w:ascii="仿宋_GB2312" w:hAnsi="仿宋" w:eastAsia="仿宋_GB2312"/>
          <w:b/>
          <w:sz w:val="32"/>
          <w:szCs w:val="32"/>
        </w:rPr>
      </w:pPr>
      <w:r>
        <w:rPr>
          <w:rFonts w:hint="eastAsia" w:ascii="仿宋_GB2312" w:hAnsi="仿宋" w:eastAsia="仿宋_GB2312"/>
          <w:b/>
          <w:sz w:val="32"/>
          <w:szCs w:val="32"/>
        </w:rPr>
        <w:t>2.公共硬件支撑平台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建设信息资源服务、数据存储备份、运维服务等统一硬件基础环境，实现硬件资源的统一建设和管理，实施数据和信息资源的统一存储、容灾备份，为教学、科研等提供信息化硬件环境支撑。</w:t>
      </w:r>
    </w:p>
    <w:p>
      <w:pPr>
        <w:spacing w:line="600" w:lineRule="exact"/>
        <w:ind w:firstLine="600"/>
        <w:jc w:val="left"/>
        <w:rPr>
          <w:rFonts w:hint="eastAsia" w:ascii="仿宋_GB2312" w:hAnsi="仿宋" w:eastAsia="仿宋_GB2312"/>
          <w:b/>
          <w:sz w:val="32"/>
          <w:szCs w:val="32"/>
        </w:rPr>
      </w:pPr>
      <w:r>
        <w:rPr>
          <w:rFonts w:hint="eastAsia" w:ascii="仿宋_GB2312" w:hAnsi="仿宋" w:eastAsia="仿宋_GB2312"/>
          <w:b/>
          <w:sz w:val="32"/>
          <w:szCs w:val="32"/>
        </w:rPr>
        <w:t>（1）升级数据中心机房</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建设“绿色、环保、节能、安全”的高标准、高可靠性的校园核心机房。学院新数据中心机房位于目前的图书信息大楼，</w:t>
      </w:r>
    </w:p>
    <w:p>
      <w:pPr>
        <w:spacing w:line="600" w:lineRule="exact"/>
        <w:ind w:firstLine="600"/>
        <w:jc w:val="left"/>
        <w:rPr>
          <w:rFonts w:hint="eastAsia" w:ascii="仿宋_GB2312" w:hAnsi="仿宋" w:eastAsia="仿宋_GB2312"/>
          <w:b/>
          <w:sz w:val="32"/>
          <w:szCs w:val="32"/>
        </w:rPr>
      </w:pPr>
      <w:r>
        <w:rPr>
          <w:rFonts w:hint="eastAsia" w:ascii="仿宋_GB2312" w:hAnsi="仿宋" w:eastAsia="仿宋_GB2312"/>
          <w:b/>
          <w:sz w:val="32"/>
          <w:szCs w:val="32"/>
        </w:rPr>
        <w:t>（2）打造校级的高性能计算中心</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随着高性能计算中心的发展，服务范围和使用人员的增多，应用软件和系统架构增加和复杂化，本次建立的高性能计算中心必须能够具有高扩展，易扩展的特性。学院高性能计算平台的整合不仅可以给学院及社会带来很高的计算效益，同时也可以有效的减少校内重复投资，提高资源的利用率，为学院的科学研究和人才培养提供有力保障。</w:t>
      </w:r>
    </w:p>
    <w:p>
      <w:pPr>
        <w:spacing w:line="600" w:lineRule="exact"/>
        <w:ind w:firstLine="600"/>
        <w:jc w:val="left"/>
        <w:rPr>
          <w:rFonts w:hint="eastAsia" w:ascii="仿宋_GB2312" w:hAnsi="仿宋" w:eastAsia="仿宋_GB2312"/>
          <w:b/>
          <w:sz w:val="32"/>
          <w:szCs w:val="32"/>
        </w:rPr>
      </w:pPr>
      <w:r>
        <w:rPr>
          <w:rFonts w:hint="eastAsia" w:ascii="仿宋_GB2312" w:hAnsi="仿宋" w:eastAsia="仿宋_GB2312"/>
          <w:b/>
          <w:sz w:val="32"/>
          <w:szCs w:val="32"/>
        </w:rPr>
        <w:t>（3）建设校园虚拟化云平台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建设云存储平台，满足学院结构化和非结构化数据存储需要，提供全校师生资源共享服务；采用主流的服务器虚拟化技术和产品，对学院现有的以及将来新建的服务器进行有效整合，并且通过虚拟化管理中心对所有的计算资源池进行集中配置和管理，从而达到盘活现有资源、减少重复投资、降低运行费用的目标。</w:t>
      </w:r>
    </w:p>
    <w:p>
      <w:pPr>
        <w:spacing w:line="600" w:lineRule="exact"/>
        <w:ind w:firstLine="600"/>
        <w:jc w:val="left"/>
        <w:rPr>
          <w:rFonts w:hint="eastAsia" w:ascii="仿宋_GB2312" w:hAnsi="仿宋" w:eastAsia="仿宋_GB2312"/>
          <w:sz w:val="32"/>
          <w:szCs w:val="32"/>
        </w:rPr>
      </w:pP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公共应用基础平台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1.信息标准规范</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信息标准规范是整个数字校园建设的基础，是实现全校范围内教育信息资源交流与共享的必要条件。在国家标准、教育部标准、行业标准等基础之上，兼顾各个标准之间的兼容性、一致性以及标准的可扩展性，结合学院的具体需求扩充学院信息标准库，制定学院信息化标准和规范，建设用户角色表和校级数据字典，形成信息化标准管理体系；指导学院的应用信息系统规划、设计、开发、实施和维护，保证信息在采集、处理、交换、传输的过程中有统一、科学、规范的分类和描述，使信息流通更加有序，最大限度地实现信息资源共享；做好标准和规范的培训、推广和应用工作，最大限度实现信息资源共享，保障学院信息化建设规范应用实施，并通过信息标准管理工具实现对信息标准的全生命周期管理。</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2.主数据中心</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 xml:space="preserve">根据学院信息标准规范、信息编码标准和数据交换标准，通过数据集成工具，规范信息从采集、处理、交换到综合利用的全过程，建立全校唯一、权威的全局数据库和数据交换平台。实现对学院基础数据、业务数据、历史数据与资源的集中存储、统一管理；明确权威数据源，规划数据流向，实现各业务系统、公共数据及资源相互之间的数据交换和共享；建成数据仓库，开展统计查询，探索大数据分析在学院的应用，为各项决策提供强有力的支持，为数字校园建设提供了一个可靠、统一的数据支撑平台。  </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3.服务门户平台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建设面向用户的服务门户平台，将校内分散、异构的应用和信息资源进行聚合，通过统一的应用服务入口，对内容进行梳理和归纳，提供一个支持信息访问、传递、以及协作的集成化环境。服务门户平台以“不同用户”为视角，梳理并展现面向不同角色的服务应用，并可通过服务门户进行一站式的访问和使用。同时，可以自动识别用户特性，进行精准、有效地推送用户可能关注的服务应用，使得整个服务过程更高效、服务体验更优质。</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4.统一通信平台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统一通信平台将学院应用系统来源各异的消息进行集成，为学院建立标准的通讯服务接口，通过各种终端方式（包括手机短信、Email、移动应用等）进行统一推送，使得用户可以通过手机短信、电子邮件、即时通讯和微信等终端进行接收与传阅。</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5.统一支付平台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建设智慧校园统一支付平台，借助网络和银行信息系统，方便校内师生对支付信息的统一管理，为学院用户提供统一的支付通道，为校内的各类应用系统提供便捷的支付接入接口，集中处理与“第三方支付”和“银行系统”的对接，为用户提供完整统一的支付界面。</w:t>
      </w:r>
    </w:p>
    <w:p>
      <w:pPr>
        <w:spacing w:line="600" w:lineRule="exact"/>
        <w:ind w:firstLine="600"/>
        <w:jc w:val="left"/>
        <w:rPr>
          <w:rFonts w:hint="eastAsia" w:ascii="仿宋_GB2312" w:hAnsi="仿宋" w:eastAsia="仿宋_GB2312"/>
          <w:sz w:val="32"/>
          <w:szCs w:val="32"/>
        </w:rPr>
      </w:pP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公共应用服务平台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1.管理信息化平台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按照教育教学管理的规律和特点，打造一个管理信息化平台。通过碎片化服务应用,将面向师生的应用服务抽取到服务门户，打造教师、学生综合服务应用中心，提供统一身份认证、统一授权服务、统一通讯服务等公共应用，提供基础数据、查询与统计分析、统计数据报送服务、填表服务。</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2.重点业务支撑系统</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按照“把握整体、兼顾局部：重点先行、辅助跟上”的原则，逐步推进业务管理系统建设，完成综合人事管理平台、财务管理及统一支付平台、科研管理系统、教务管理系统、学生管理系统和办公自动化管理系统等，实现数据的交换共享、业务流程的互联互通。</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3.一站式电子校务</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逐步完成业务系统全面整合，实现应用系统间的数据通、流程通、服务通；构建一站式电子校务，实现办事、审批的一站式办理；建设涵盖人事管理、离退休、工会、校友服务等在内的“大人事”业务域信息系统；建设涵盖教务、实训、学工、创业管理等在内的“大教学”业务域信息系统；建设涵盖科研管理、实验室管理、仪器资源管理等的“大科研”业务域信息系统；建设涵盖财务管理、国资管理、发展规划、监察审计等的“大资产”业务域信息系统，建设涵盖后勤管理、基建服务、公共安全、医疗卫生等在内的“大后勤”业务域信息系统；建设学院级综合管理信息系统，满足学院教学、科研、管理与综合服务的需求，最终不断拓展电子校务办事大厅服务领域，实现业务系统全覆盖。</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4.学院决策支持系统</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逐步实现学院主要运行数据的采集、汇聚、清洗、统计，全面提供校情、教学、科研、财务、资产等各类相关数据的统计展示，建成学院决策支持系统，提供“领导驾驶舱”服务；基于大数据技术开展深度数据挖掘，分级分类为学院、部门管理提供决策支持。</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5.移动校园平台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利用移动互联技术，整合校内服务资源，使师生更便捷、高效的获取校内信息，建设移动数字校园应用平台，为师生的信息服务提供可控的移动化支撑，并提供一个集中式的校园移动服务分发通道来满足师生的移动服务需求。面向校园提供便捷、一站式、全方位、个性化的服务，打造集信息发布、自助查询、自助审批、自助报修等符合手机终端应用特点的移动办事大厅服务平台，用户可在任何时间、任何地点，访问和获取校内资源，实现校园OA系统、邮件系统、校园一卡通、服务门户等内部各种信息系统与师生移动终端的信息交互。</w:t>
      </w:r>
    </w:p>
    <w:p>
      <w:pPr>
        <w:spacing w:line="600" w:lineRule="exact"/>
        <w:ind w:firstLine="600"/>
        <w:jc w:val="left"/>
        <w:rPr>
          <w:rFonts w:hint="eastAsia" w:ascii="仿宋_GB2312" w:hAnsi="仿宋" w:eastAsia="仿宋_GB2312"/>
          <w:sz w:val="32"/>
          <w:szCs w:val="32"/>
        </w:rPr>
      </w:pP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公共信息资源平台建设</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通过平台和中间件技术，打造一个性格为先的高效服务平台，通过高性能计算和虚拟化云技术，实现各类资源的动态调整和有效分配，为应用系统建设提供一系列通用性、基础性、公共性的资源服务。</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１.教学资源信息服务平台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构建现代化教学系统和开放式、校际共享型数字化学习中心，实现数字化学习资源建设与管理，包括可视化资源直播以及校内资源接入，并对教学资源进行审批、分类和管理，充分展示教学体系和教学成果；有效推动精品课程建设工作，打通与校外MOOC平台的通道，构建开放的共享型教学资源体系；营造高效易用的网络教学师生互动环境，实现碎片化学习；提供合理的课程管理和测评工具，包括共享资源管理平台和开放式学习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2.图书资源信息服务平台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图书馆数字学习、创新中心平台，整合学术资源，建设学习资源库；建设信息管理平台，提供学科服务与查新服务、阅览座位管理服务、虚拟入馆服务、新生入馆培训、资源管理与机构馆藏查询服务；建设自助服务平台，实现各类自助借还书、自助打印、资源访问服务，完善基于移动互联网的文献服务。</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3.档案资源信息服务平台</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推进档案资源信息服务平台建设，实现电子数据在线归档，以及档案利用主动服务。优化与学院主数据中心的对接，定期完成学生成绩、学籍信息、毕业去向等信息的在线归档；优化与OA系统的接口管理，归档电子公文增加红头、电子签名、附件，使电子公文具有完整性、可利用性；开发档案编研管理系统，利用档案管理系统的数据资源进行编研，为学院有关工作提供专题服务。</w:t>
      </w:r>
    </w:p>
    <w:p>
      <w:pPr>
        <w:spacing w:line="600" w:lineRule="exact"/>
        <w:ind w:firstLine="600"/>
        <w:jc w:val="left"/>
        <w:rPr>
          <w:rFonts w:hint="eastAsia" w:ascii="仿宋_GB2312" w:hAnsi="仿宋" w:eastAsia="仿宋_GB2312"/>
          <w:sz w:val="32"/>
          <w:szCs w:val="32"/>
        </w:rPr>
      </w:pP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智能物联网平台建设</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基于虚拟化、云计算、大数据、物联网等技术，构建服务人才培养的教学智能环境，构建服务科学研究的创新智能环境，构建信息化教学与生活服务体系，建设能耗监管平台，促进学院管理过程精细化，管理状态可视化，管理运行自动化，实现绿色、平安、健康的智慧校园。</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1.智能交通。打造交通引导系统和校园地图服务系统，用于对停车场的泊车位进行综合的有效引导和管理，同时提供学院各机构、建筑以及生活设施的地理位置的查询服务和线路引导。</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2．智能楼宇。实现学院门禁管理、通道管理和访客管理，对进出人员进行出入控制管理或涉密等重点场所，起到电子门锁的作用。对楼宇进出人员完全控制权，完成各种控制、统计、监视、查询、指挥等功能，大大降低了管理人员的劳动量。</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3．平安校园。逐步实现学院的安防监控和消防管理，在配合前端智能分析以及音频技术的基础上，做到事前智能预警、事中快速处理、事后高效调看，三者合一促进高校日常运作正常、有序、高效的进行。</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4．节能校园。逐步实现学院的 IT 资源管理、水电管网管理、房产资源管理、实验室机房及大型仪器设备管理和能源感知管理，引入智能感知技术，对校内用电、用水、用房和 IT 资源等进行智能管理、智能控制，有效提高资源的使用效率，提高工作人员的工作效率。</w:t>
      </w:r>
    </w:p>
    <w:p>
      <w:pPr>
        <w:spacing w:line="600" w:lineRule="exact"/>
        <w:ind w:firstLine="600"/>
        <w:jc w:val="left"/>
        <w:rPr>
          <w:rFonts w:hint="eastAsia" w:ascii="仿宋_GB2312" w:hAnsi="仿宋" w:eastAsia="仿宋_GB2312"/>
          <w:sz w:val="32"/>
          <w:szCs w:val="32"/>
        </w:rPr>
      </w:pP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运维与安全保障体系建设</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1.运维体系建设</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加强信息化运行维护体系建设，为信息化建设提供可靠、良好服务的保证，根据学院实际配置人员、提供条件。建立 7*24 小时网络和信息系统实时运维服务体系；完善运维手段，运用新技术提高运维自动化和管理能力，通过运维管理平台，实时监控数字校园的运行状态；根据学院实际情况推进服务适当外包。</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2.安全保障体系建设</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重视网络安全、系统安全和数据安全，在充分了解全网软硬件情况，仔细分析学院信息安全现实和环境，设计建立安全体系，购买适当的安全设备，制定完备而可执行的安全规则和制度；合理确定安全等级，切实做好等级保护和信息安全工作；对信息的获取、处理、存储、使用和交换进行严格的管理，对信息按照不同权限分级实施保护；建立网络信息与安全应急预案，加强人员安全培训，控制安全隐患。</w:t>
      </w:r>
    </w:p>
    <w:p>
      <w:pPr>
        <w:pStyle w:val="3"/>
        <w:adjustRightInd w:val="0"/>
        <w:snapToGrid w:val="0"/>
        <w:spacing w:before="0" w:after="0" w:line="600" w:lineRule="exact"/>
        <w:ind w:firstLine="643" w:firstLineChars="200"/>
        <w:rPr>
          <w:rFonts w:hint="eastAsia" w:ascii="仿宋_GB2312" w:hAnsi="黑体" w:eastAsia="仿宋_GB2312" w:cs="仿宋_GB2312"/>
          <w:bCs w:val="0"/>
        </w:rPr>
      </w:pPr>
      <w:r>
        <w:rPr>
          <w:rFonts w:hint="eastAsia" w:ascii="仿宋_GB2312" w:hAnsi="黑体" w:eastAsia="仿宋_GB2312" w:cs="仿宋_GB2312"/>
          <w:bCs w:val="0"/>
        </w:rPr>
        <w:t>（三）实施计划</w:t>
      </w:r>
    </w:p>
    <w:p>
      <w:pPr>
        <w:spacing w:line="600" w:lineRule="exact"/>
        <w:ind w:firstLine="600"/>
        <w:jc w:val="left"/>
        <w:rPr>
          <w:rFonts w:hint="eastAsia" w:ascii="仿宋_GB2312" w:hAnsi="仿宋" w:eastAsia="仿宋_GB2312"/>
          <w:b/>
          <w:sz w:val="32"/>
          <w:szCs w:val="32"/>
        </w:rPr>
      </w:pPr>
      <w:r>
        <w:rPr>
          <w:rFonts w:hint="eastAsia" w:ascii="仿宋_GB2312" w:hAnsi="仿宋" w:eastAsia="仿宋_GB2312"/>
          <w:b/>
          <w:sz w:val="32"/>
          <w:szCs w:val="32"/>
        </w:rPr>
        <w:t>1.建设任务进度计划</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紧密围绕学院人才培养这一根本任务，分两个阶段重点开展建设，其中：</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2016-2018 年重点开展新数据中心机房建设、网络基础环境（有线网络升级、无线网络建设）、信息标准规范和主数据中心建设、校级重点应用系统及服务门户建设、虚拟化云平台，启动移动应用建设。</w:t>
      </w:r>
    </w:p>
    <w:p>
      <w:pPr>
        <w:spacing w:line="600" w:lineRule="exact"/>
        <w:ind w:firstLine="600"/>
        <w:jc w:val="left"/>
        <w:rPr>
          <w:rFonts w:hint="eastAsia" w:ascii="仿宋_GB2312" w:hAnsi="仿宋" w:eastAsia="仿宋_GB2312"/>
          <w:sz w:val="32"/>
          <w:szCs w:val="32"/>
        </w:rPr>
      </w:pPr>
      <w:r>
        <w:rPr>
          <w:rFonts w:hint="eastAsia" w:ascii="仿宋_GB2312" w:hAnsi="仿宋" w:eastAsia="仿宋_GB2312"/>
          <w:sz w:val="32"/>
          <w:szCs w:val="32"/>
        </w:rPr>
        <w:t>2019-2020 年重点开展高性能计算平台、现代化教学体系建设、一站式电子校务建设、数据仓库及信息资源平台，发掘数据资产价值、提供大数据分析，基本建成学院辅助决策支持系统。</w:t>
      </w:r>
    </w:p>
    <w:p>
      <w:pPr>
        <w:spacing w:line="600" w:lineRule="exact"/>
        <w:jc w:val="center"/>
        <w:rPr>
          <w:rFonts w:hint="eastAsia" w:ascii="仿宋_GB2312" w:hAnsi="宋体" w:eastAsia="仿宋_GB2312"/>
          <w:b/>
          <w:sz w:val="32"/>
          <w:szCs w:val="32"/>
        </w:rPr>
      </w:pPr>
      <w:r>
        <w:rPr>
          <w:rFonts w:hint="eastAsia" w:ascii="仿宋_GB2312" w:hAnsi="宋体" w:eastAsia="仿宋_GB2312"/>
          <w:b/>
          <w:sz w:val="32"/>
          <w:szCs w:val="32"/>
        </w:rPr>
        <w:t>表</w:t>
      </w:r>
      <w:r>
        <w:rPr>
          <w:rFonts w:hint="eastAsia" w:ascii="仿宋_GB2312" w:hAnsi="Arial" w:eastAsia="仿宋_GB2312"/>
          <w:b/>
          <w:sz w:val="32"/>
          <w:szCs w:val="32"/>
        </w:rPr>
        <w:t>1</w:t>
      </w:r>
      <w:r>
        <w:rPr>
          <w:rFonts w:hint="eastAsia" w:ascii="仿宋_GB2312" w:eastAsia="仿宋_GB2312"/>
          <w:b/>
          <w:sz w:val="32"/>
          <w:szCs w:val="32"/>
        </w:rPr>
        <w:tab/>
      </w:r>
      <w:r>
        <w:rPr>
          <w:rFonts w:hint="eastAsia" w:ascii="仿宋_GB2312" w:hAnsi="宋体" w:eastAsia="仿宋_GB2312"/>
          <w:b/>
          <w:sz w:val="32"/>
          <w:szCs w:val="32"/>
        </w:rPr>
        <w:t>汕头职业技术学院信息化建设任务时间计划安排表</w:t>
      </w:r>
    </w:p>
    <w:p>
      <w:pPr>
        <w:spacing w:line="600" w:lineRule="exact"/>
        <w:jc w:val="left"/>
        <w:rPr>
          <w:rFonts w:hint="eastAsia" w:ascii="仿宋_GB2312" w:hAnsi="仿宋" w:eastAsia="仿宋_GB2312"/>
          <w:b/>
          <w:sz w:val="32"/>
          <w:szCs w:val="32"/>
        </w:rPr>
      </w:pPr>
      <w:r>
        <w:drawing>
          <wp:anchor distT="0" distB="0" distL="114300" distR="114300" simplePos="0" relativeHeight="251660288" behindDoc="1" locked="0" layoutInCell="1" allowOverlap="1">
            <wp:simplePos x="0" y="0"/>
            <wp:positionH relativeFrom="column">
              <wp:posOffset>389890</wp:posOffset>
            </wp:positionH>
            <wp:positionV relativeFrom="paragraph">
              <wp:posOffset>54610</wp:posOffset>
            </wp:positionV>
            <wp:extent cx="4851400" cy="6026150"/>
            <wp:effectExtent l="0" t="0" r="0" b="6350"/>
            <wp:wrapSquare wrapText="bothSides"/>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23"/>
                    <a:srcRect l="33273" t="14561" r="32115" b="9166"/>
                    <a:stretch>
                      <a:fillRect/>
                    </a:stretch>
                  </pic:blipFill>
                  <pic:spPr>
                    <a:xfrm>
                      <a:off x="0" y="0"/>
                      <a:ext cx="4851400" cy="6026150"/>
                    </a:xfrm>
                    <a:prstGeom prst="rect">
                      <a:avLst/>
                    </a:prstGeom>
                    <a:noFill/>
                    <a:ln w="9525">
                      <a:noFill/>
                    </a:ln>
                  </pic:spPr>
                </pic:pic>
              </a:graphicData>
            </a:graphic>
          </wp:anchor>
        </w:drawing>
      </w: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p>
    <w:p>
      <w:pPr>
        <w:spacing w:line="600" w:lineRule="exact"/>
        <w:ind w:firstLine="643" w:firstLineChars="200"/>
        <w:jc w:val="left"/>
        <w:rPr>
          <w:rFonts w:hint="eastAsia" w:ascii="仿宋_GB2312" w:hAnsi="仿宋" w:eastAsia="仿宋_GB2312"/>
          <w:b/>
          <w:sz w:val="32"/>
          <w:szCs w:val="32"/>
        </w:rPr>
      </w:pPr>
      <w:r>
        <w:rPr>
          <w:rFonts w:hint="eastAsia" w:ascii="仿宋_GB2312" w:hAnsi="仿宋" w:eastAsia="仿宋_GB2312"/>
          <w:b/>
          <w:sz w:val="32"/>
          <w:szCs w:val="32"/>
        </w:rPr>
        <w:t>2.三年行动计划</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近三年重点建设工作安排为：开展新数据中心机房建设、网络支撑平台建设、信息门户及其支撑系统、一卡通系统拓展建设与提升、数字资源云服务平台及可视化教学系统、智慧校园灾备数据中心、智慧校园计算支撑平台。</w:t>
      </w:r>
    </w:p>
    <w:p>
      <w:pPr>
        <w:pStyle w:val="3"/>
        <w:adjustRightInd w:val="0"/>
        <w:snapToGrid w:val="0"/>
        <w:spacing w:before="0" w:after="0" w:line="600" w:lineRule="exact"/>
        <w:ind w:firstLine="643" w:firstLineChars="200"/>
        <w:rPr>
          <w:rFonts w:hint="eastAsia" w:ascii="仿宋_GB2312" w:hAnsi="黑体" w:eastAsia="仿宋_GB2312" w:cs="仿宋_GB2312"/>
          <w:bCs w:val="0"/>
        </w:rPr>
      </w:pPr>
      <w:r>
        <w:rPr>
          <w:rFonts w:hint="eastAsia" w:ascii="仿宋_GB2312" w:hAnsi="黑体" w:eastAsia="仿宋_GB2312" w:cs="仿宋_GB2312"/>
          <w:bCs w:val="0"/>
        </w:rPr>
        <w:t>（四）保障措施</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信息化建设将促进全面而深刻的变革和影响,将会推动学院教学方式、科研与管理体制的变革，管理业务流程的优化，信息交流方式的变化，资源整合度提高而带来的组织高度协作，组织机构变化，激励与监督机制的进步，绩效考核手段的调整等。因此在实施建设过程中必然存在种种困难需要克服，需要我们从几个方面采取措施予以预防，保障建设的顺利进行。</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（1）信息化建设是一个庞大的系统工程，是提高学院综合办学能力和创建一流大学的重要组成部分，涉及学院工作的方方面面；</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（2）信息化建设需要全校统一规划，分步实施；</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（3）信息化建设要制订各种规范标准和政策法规；</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（4）信息化建设会引起管理组织结构的重组；</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（5）信息化建设需要人们观念的变化，素质的提高；</w:t>
      </w:r>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（6）信息化建设是一个永久性的常规建设过程，需要大量的人力和资金的投入。</w:t>
      </w:r>
    </w:p>
    <w:p>
      <w:pPr>
        <w:spacing w:line="600" w:lineRule="exact"/>
        <w:ind w:firstLine="643" w:firstLineChars="200"/>
        <w:jc w:val="left"/>
        <w:rPr>
          <w:rFonts w:hint="eastAsia" w:ascii="仿宋_GB2312" w:hAnsi="仿宋" w:eastAsia="仿宋_GB2312"/>
          <w:b/>
          <w:sz w:val="32"/>
          <w:szCs w:val="32"/>
        </w:rPr>
      </w:pPr>
      <w:r>
        <w:rPr>
          <w:rFonts w:hint="eastAsia" w:ascii="仿宋_GB2312" w:hAnsi="仿宋" w:eastAsia="仿宋_GB2312"/>
          <w:b/>
          <w:sz w:val="32"/>
          <w:szCs w:val="32"/>
        </w:rPr>
        <w:t>1.</w:t>
      </w:r>
      <w:bookmarkStart w:id="30" w:name="_Toc420422045"/>
      <w:bookmarkStart w:id="31" w:name="_Toc417240159"/>
      <w:bookmarkStart w:id="32" w:name="_Toc270498047"/>
      <w:bookmarkStart w:id="33" w:name="_Toc417240602"/>
      <w:r>
        <w:rPr>
          <w:rFonts w:hint="eastAsia" w:ascii="仿宋_GB2312" w:hAnsi="仿宋" w:eastAsia="仿宋_GB2312"/>
          <w:b/>
          <w:sz w:val="32"/>
          <w:szCs w:val="32"/>
        </w:rPr>
        <w:t>工作观念保障</w:t>
      </w:r>
      <w:bookmarkEnd w:id="30"/>
      <w:bookmarkEnd w:id="31"/>
      <w:bookmarkEnd w:id="32"/>
      <w:bookmarkEnd w:id="33"/>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教育资源建设是教育信息化的关键，要充分利用优质信息资源改变师生的教学与学习方式。因此，首先要树立信息化资源观念，从资源采集、优化思考等入手，为师生提供优质资源。其次，要把信息化当作师生的生存环境来爱护和创造，通过对教育信息化所涉及的价值观、教师观、学生观、课程教材观、教学过程观、教育评价观等一系列观念与问题的反思，重构学校的信息化建设工作，把信息化建设工作做得深入彻底。</w:t>
      </w:r>
    </w:p>
    <w:p>
      <w:pPr>
        <w:spacing w:line="600" w:lineRule="exact"/>
        <w:ind w:firstLine="643" w:firstLineChars="200"/>
        <w:jc w:val="left"/>
        <w:rPr>
          <w:rFonts w:hint="eastAsia" w:ascii="仿宋_GB2312" w:hAnsi="仿宋" w:eastAsia="仿宋_GB2312"/>
          <w:b/>
          <w:sz w:val="32"/>
          <w:szCs w:val="32"/>
        </w:rPr>
      </w:pPr>
      <w:bookmarkStart w:id="34" w:name="_Toc417240603"/>
      <w:bookmarkStart w:id="35" w:name="_Toc270498048"/>
      <w:bookmarkStart w:id="36" w:name="_Toc420422046"/>
      <w:bookmarkStart w:id="37" w:name="_Toc417240160"/>
      <w:r>
        <w:rPr>
          <w:rFonts w:hint="eastAsia" w:ascii="仿宋_GB2312" w:hAnsi="仿宋" w:eastAsia="仿宋_GB2312"/>
          <w:b/>
          <w:sz w:val="32"/>
          <w:szCs w:val="32"/>
        </w:rPr>
        <w:t>2.科学管理保障</w:t>
      </w:r>
      <w:bookmarkEnd w:id="34"/>
      <w:bookmarkEnd w:id="35"/>
      <w:bookmarkEnd w:id="36"/>
      <w:bookmarkEnd w:id="37"/>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在各种场合多途径进行信息化宣传教育；应用现代化管理方法，采取行政措施，改变传统的管理方法，加大对部门的科学考核内容，特别是诸如OA系统、网上申报审批系统等业务流程。由校领导牵头，提供严格的行政规定和有力的技术支持，全面、安全、有效地开展信息化工作。</w:t>
      </w:r>
    </w:p>
    <w:p>
      <w:pPr>
        <w:spacing w:line="600" w:lineRule="exact"/>
        <w:ind w:firstLine="643" w:firstLineChars="200"/>
        <w:jc w:val="left"/>
        <w:rPr>
          <w:rFonts w:hint="eastAsia" w:ascii="仿宋_GB2312" w:hAnsi="仿宋" w:eastAsia="仿宋_GB2312"/>
          <w:b/>
          <w:sz w:val="32"/>
          <w:szCs w:val="32"/>
        </w:rPr>
      </w:pPr>
      <w:bookmarkStart w:id="38" w:name="_Toc420422047"/>
      <w:bookmarkStart w:id="39" w:name="_Toc417240161"/>
      <w:bookmarkStart w:id="40" w:name="_Toc270498049"/>
      <w:bookmarkStart w:id="41" w:name="_Toc417240604"/>
      <w:r>
        <w:rPr>
          <w:rFonts w:hint="eastAsia" w:ascii="仿宋_GB2312" w:hAnsi="仿宋" w:eastAsia="仿宋_GB2312"/>
          <w:b/>
          <w:sz w:val="32"/>
          <w:szCs w:val="32"/>
        </w:rPr>
        <w:t>3.制度规范保障</w:t>
      </w:r>
      <w:bookmarkEnd w:id="38"/>
      <w:bookmarkEnd w:id="39"/>
      <w:bookmarkEnd w:id="40"/>
      <w:bookmarkEnd w:id="41"/>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在学校信息化领导小组的领导下，制订信息化规划、落实信息化建设资金，同时，在各院（部、处）建立信息主管和信息员队伍。坚持“一把手”原则，坚持行政驱动和技术支持相结合原则，改革管理工作流程，规范管理程序，优化组织形式，建立符合信息化要求的现代管理制度。加强信息集中管理，将各部门现有的信息系统数据库及服务器集中到学校数据中心，对信息资源实行统一管理，由专业人员统一维护，保障信息安全；有效集成各类业务信息系统，实现系统集成和信息共享。</w:t>
      </w:r>
    </w:p>
    <w:p>
      <w:pPr>
        <w:spacing w:line="600" w:lineRule="exact"/>
        <w:ind w:firstLine="643" w:firstLineChars="200"/>
        <w:jc w:val="left"/>
        <w:rPr>
          <w:rFonts w:hint="eastAsia" w:ascii="仿宋_GB2312" w:hAnsi="仿宋" w:eastAsia="仿宋_GB2312"/>
          <w:b/>
          <w:sz w:val="32"/>
          <w:szCs w:val="32"/>
        </w:rPr>
      </w:pPr>
      <w:bookmarkStart w:id="42" w:name="_Toc270498050"/>
      <w:bookmarkStart w:id="43" w:name="_Toc417240605"/>
      <w:bookmarkStart w:id="44" w:name="_Toc420422048"/>
      <w:bookmarkStart w:id="45" w:name="_Toc417240162"/>
      <w:r>
        <w:rPr>
          <w:rFonts w:hint="eastAsia" w:ascii="仿宋_GB2312" w:hAnsi="仿宋" w:eastAsia="仿宋_GB2312"/>
          <w:b/>
          <w:sz w:val="32"/>
          <w:szCs w:val="32"/>
        </w:rPr>
        <w:t>4.队伍支撑保障</w:t>
      </w:r>
      <w:bookmarkEnd w:id="42"/>
      <w:bookmarkEnd w:id="43"/>
      <w:bookmarkEnd w:id="44"/>
      <w:bookmarkEnd w:id="45"/>
    </w:p>
    <w:p>
      <w:pPr>
        <w:spacing w:line="600" w:lineRule="exact"/>
        <w:ind w:firstLine="640" w:firstLineChars="200"/>
        <w:jc w:val="left"/>
        <w:rPr>
          <w:rFonts w:hint="eastAsia" w:ascii="仿宋_GB2312" w:hAnsi="仿宋" w:eastAsia="仿宋_GB2312"/>
          <w:sz w:val="32"/>
          <w:szCs w:val="32"/>
        </w:rPr>
      </w:pPr>
      <w:bookmarkStart w:id="46" w:name="_Toc417240163"/>
      <w:bookmarkStart w:id="47" w:name="_Toc270498051"/>
      <w:bookmarkStart w:id="48" w:name="_Toc417240606"/>
      <w:bookmarkStart w:id="49" w:name="_Toc420422049"/>
      <w:r>
        <w:rPr>
          <w:rFonts w:hint="eastAsia" w:ascii="仿宋_GB2312" w:hAnsi="仿宋" w:eastAsia="仿宋_GB2312"/>
          <w:sz w:val="32"/>
          <w:szCs w:val="32"/>
        </w:rPr>
        <w:t>为实现“十三五”信息化建设规划目标，对信息化队伍建设提出了更高的要求，必须破解目前队伍结构不合理、人员数量严重不足等瓶颈问题，建设一支校级层面的既懂信息技术，又懂高校管理业务的、梯次结构合理的、复合型、专业化信息技术支撑队伍。通过对教师和管理人员开展信息技术培训，建立学院层面的信息系统服务队伍。</w:t>
      </w:r>
    </w:p>
    <w:p>
      <w:pPr>
        <w:spacing w:line="600" w:lineRule="exact"/>
        <w:ind w:firstLine="643" w:firstLineChars="200"/>
        <w:jc w:val="left"/>
        <w:rPr>
          <w:rFonts w:hint="eastAsia" w:ascii="仿宋_GB2312" w:hAnsi="仿宋" w:eastAsia="仿宋_GB2312"/>
          <w:b/>
          <w:sz w:val="32"/>
          <w:szCs w:val="32"/>
        </w:rPr>
      </w:pPr>
      <w:r>
        <w:rPr>
          <w:rFonts w:hint="eastAsia" w:ascii="仿宋_GB2312" w:hAnsi="仿宋" w:eastAsia="仿宋_GB2312"/>
          <w:b/>
          <w:sz w:val="32"/>
          <w:szCs w:val="32"/>
        </w:rPr>
        <w:t>5.物质支持保障</w:t>
      </w:r>
      <w:bookmarkEnd w:id="46"/>
      <w:bookmarkEnd w:id="47"/>
      <w:bookmarkEnd w:id="48"/>
      <w:bookmarkEnd w:id="49"/>
    </w:p>
    <w:p>
      <w:pPr>
        <w:spacing w:line="60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为确保学校信息化建设“十三五”规划的顺利执行，信息化建设经费须逐年增长，专款专用。建设资金主要用于基础年付费（基础网络接入费、网络和信息系统维护费、新增设备费）和网络改造费、信息系统开发费、信息系统改造费、信息系统运维费等。建设资金主要来自上海市经信委的信息化项目经费、学校专项经费和内涵建设专项经费。“十三五”期间学校信息化建设资金总需求约4000万元。</w:t>
      </w:r>
    </w:p>
    <w:p>
      <w:pPr>
        <w:spacing w:line="600" w:lineRule="exact"/>
        <w:ind w:firstLine="640" w:firstLineChars="200"/>
        <w:jc w:val="left"/>
        <w:rPr>
          <w:rFonts w:hint="eastAsia" w:ascii="仿宋_GB2312" w:hAnsi="仿宋" w:eastAsia="仿宋_GB2312"/>
          <w:sz w:val="32"/>
          <w:szCs w:val="32"/>
        </w:rPr>
      </w:pPr>
    </w:p>
    <w:p>
      <w:pPr>
        <w:spacing w:line="600" w:lineRule="exact"/>
        <w:rPr>
          <w:rFonts w:hint="eastAsia" w:ascii="仿宋_GB2312" w:hAnsi="宋体" w:eastAsia="仿宋_GB2312"/>
          <w:b/>
          <w:sz w:val="32"/>
          <w:szCs w:val="32"/>
        </w:rPr>
      </w:pPr>
    </w:p>
    <w:p>
      <w:pPr>
        <w:rPr>
          <w:rFonts w:hint="eastAsia"/>
        </w:rPr>
      </w:pPr>
      <w:r>
        <w:br w:type="page"/>
      </w:r>
    </w:p>
    <w:sectPr>
      <w:pgSz w:w="11906" w:h="16838"/>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roman"/>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Fonts w:hint="eastAsia"/>
      </w:rPr>
    </w:pPr>
  </w:p>
  <w:p>
    <w:pPr>
      <w:pStyle w:val="12"/>
      <w:framePr w:wrap="around" w:vAnchor="text" w:hAnchor="margin" w:xAlign="center" w:y="1"/>
      <w:rPr>
        <w:rStyle w:val="22"/>
        <w:rFonts w:hint="eastAsia"/>
      </w:rPr>
    </w:pPr>
  </w:p>
  <w:p>
    <w:pPr>
      <w:pStyle w:val="12"/>
      <w:rPr>
        <w:rStyle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separate"/>
    </w:r>
    <w:r>
      <w:rPr>
        <w:rStyle w:val="22"/>
      </w:rPr>
      <w:t>120</w:t>
    </w:r>
    <w:r>
      <w:fldChar w:fldCharType="end"/>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Fonts w:hint="eastAsia"/>
      </w:rPr>
    </w:pPr>
  </w:p>
  <w:p>
    <w:pPr>
      <w:pStyle w:val="12"/>
      <w:framePr w:wrap="around" w:vAnchor="text" w:hAnchor="margin" w:xAlign="center" w:y="1"/>
      <w:rPr>
        <w:rStyle w:val="22"/>
        <w:rFonts w:hint="eastAsia"/>
      </w:rPr>
    </w:pPr>
  </w:p>
  <w:p>
    <w:pPr>
      <w:pStyle w:val="12"/>
      <w:rPr>
        <w:rStyle w:val="21"/>
        <w:b w:val="0"/>
        <w:bCs w:val="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separate"/>
    </w:r>
    <w:r>
      <w:rPr>
        <w:rStyle w:val="22"/>
      </w:rPr>
      <w:t>147</w:t>
    </w:r>
    <w:r>
      <w:fldChar w:fldCharType="end"/>
    </w:r>
  </w:p>
  <w:p>
    <w:pPr>
      <w:pStyle w:val="12"/>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rPr>
        <w:rFonts w:hint="eastAsia" w:ascii="楷体_GB2312" w:eastAsia="楷体_GB2312"/>
        <w:sz w:val="21"/>
        <w:szCs w:val="21"/>
      </w:rPr>
    </w:pPr>
    <w:r>
      <w:rPr>
        <w:rFonts w:hint="eastAsia" w:ascii="楷体_GB2312" w:eastAsia="楷体_GB2312"/>
        <w:sz w:val="21"/>
        <w:szCs w:val="21"/>
      </w:rPr>
      <w:drawing>
        <wp:anchor distT="0" distB="0" distL="114300" distR="114300" simplePos="0" relativeHeight="251658240" behindDoc="0" locked="0" layoutInCell="1" allowOverlap="1">
          <wp:simplePos x="0" y="0"/>
          <wp:positionH relativeFrom="page">
            <wp:posOffset>880110</wp:posOffset>
          </wp:positionH>
          <wp:positionV relativeFrom="page">
            <wp:posOffset>603250</wp:posOffset>
          </wp:positionV>
          <wp:extent cx="328295" cy="328295"/>
          <wp:effectExtent l="0" t="0" r="1905" b="1905"/>
          <wp:wrapNone/>
          <wp:docPr id="5" name="Picture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111"/>
                  <pic:cNvPicPr>
                    <a:picLocks noChangeAspect="1"/>
                  </pic:cNvPicPr>
                </pic:nvPicPr>
                <pic:blipFill>
                  <a:blip r:embed="rId1"/>
                  <a:stretch>
                    <a:fillRect/>
                  </a:stretch>
                </pic:blipFill>
                <pic:spPr>
                  <a:xfrm>
                    <a:off x="0" y="0"/>
                    <a:ext cx="328295" cy="328295"/>
                  </a:xfrm>
                  <a:prstGeom prst="rect">
                    <a:avLst/>
                  </a:prstGeom>
                  <a:noFill/>
                  <a:ln w="9525">
                    <a:noFill/>
                  </a:ln>
                </pic:spPr>
              </pic:pic>
            </a:graphicData>
          </a:graphic>
        </wp:anchor>
      </w:drawing>
    </w:r>
  </w:p>
  <w:p>
    <w:pPr>
      <w:pStyle w:val="13"/>
      <w:spacing w:line="360" w:lineRule="exact"/>
      <w:ind w:firstLine="420" w:firstLineChars="200"/>
      <w:jc w:val="both"/>
      <w:rPr>
        <w:rFonts w:hint="eastAsia" w:ascii="楷体_GB2312" w:eastAsia="楷体_GB2312"/>
        <w:sz w:val="21"/>
        <w:szCs w:val="21"/>
      </w:rPr>
    </w:pPr>
    <w:r>
      <w:rPr>
        <w:rFonts w:hint="eastAsia" w:ascii="楷体_GB2312" w:eastAsia="楷体_GB2312"/>
        <w:sz w:val="21"/>
        <w:szCs w:val="21"/>
      </w:rPr>
      <w:t xml:space="preserve">汕头职业技术学院 </w:t>
    </w:r>
    <w:r>
      <w:rPr>
        <w:rFonts w:hint="eastAsia"/>
        <w:sz w:val="21"/>
        <w:szCs w:val="21"/>
      </w:rPr>
      <w:t xml:space="preserve">                                </w:t>
    </w:r>
    <w:r>
      <w:rPr>
        <w:rFonts w:hint="eastAsia" w:ascii="楷体_GB2312" w:eastAsia="楷体_GB2312"/>
        <w:sz w:val="21"/>
        <w:szCs w:val="21"/>
      </w:rPr>
      <w:t>教育事业发展规划（2016-2020年）</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360" w:lineRule="exact"/>
      <w:jc w:val="left"/>
      <w:rPr>
        <w:rFonts w:hint="eastAsia" w:ascii="楷体_GB2312" w:eastAsia="楷体_GB2312"/>
        <w:sz w:val="21"/>
        <w:szCs w:val="21"/>
      </w:rPr>
    </w:pPr>
    <w:r>
      <w:rPr>
        <w:rFonts w:hint="eastAsia" w:ascii="楷体_GB2312" w:eastAsia="楷体_GB2312"/>
        <w:sz w:val="21"/>
        <w:szCs w:val="21"/>
      </w:rPr>
      <w:drawing>
        <wp:anchor distT="0" distB="0" distL="114300" distR="114300" simplePos="0" relativeHeight="251659264" behindDoc="0" locked="0" layoutInCell="1" allowOverlap="1">
          <wp:simplePos x="0" y="0"/>
          <wp:positionH relativeFrom="page">
            <wp:posOffset>671830</wp:posOffset>
          </wp:positionH>
          <wp:positionV relativeFrom="page">
            <wp:posOffset>518160</wp:posOffset>
          </wp:positionV>
          <wp:extent cx="328295" cy="328295"/>
          <wp:effectExtent l="0" t="0" r="1905" b="1905"/>
          <wp:wrapNone/>
          <wp:docPr id="6" name="Picture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111"/>
                  <pic:cNvPicPr>
                    <a:picLocks noChangeAspect="1"/>
                  </pic:cNvPicPr>
                </pic:nvPicPr>
                <pic:blipFill>
                  <a:blip r:embed="rId1"/>
                  <a:stretch>
                    <a:fillRect/>
                  </a:stretch>
                </pic:blipFill>
                <pic:spPr>
                  <a:xfrm>
                    <a:off x="0" y="0"/>
                    <a:ext cx="328295" cy="328295"/>
                  </a:xfrm>
                  <a:prstGeom prst="rect">
                    <a:avLst/>
                  </a:prstGeom>
                  <a:noFill/>
                  <a:ln w="9525">
                    <a:noFill/>
                  </a:ln>
                </pic:spPr>
              </pic:pic>
            </a:graphicData>
          </a:graphic>
        </wp:anchor>
      </w:drawing>
    </w:r>
    <w:r>
      <w:rPr>
        <w:rFonts w:hint="eastAsia" w:ascii="楷体_GB2312" w:eastAsia="楷体_GB2312"/>
        <w:sz w:val="21"/>
        <w:szCs w:val="21"/>
      </w:rPr>
      <w:t xml:space="preserve">汕头职业技术学院 </w:t>
    </w:r>
    <w:r>
      <w:rPr>
        <w:rFonts w:hint="eastAsia"/>
        <w:sz w:val="21"/>
        <w:szCs w:val="21"/>
      </w:rPr>
      <w:t xml:space="preserve">                                     </w:t>
    </w:r>
    <w:r>
      <w:rPr>
        <w:rFonts w:hint="eastAsia" w:ascii="楷体_GB2312" w:eastAsia="楷体_GB2312"/>
        <w:sz w:val="21"/>
        <w:szCs w:val="21"/>
      </w:rPr>
      <w:t>教育事业发展规划（2016-2020年）</w:t>
    </w:r>
    <w:r>
      <w:rPr>
        <w:rFonts w:hint="eastAsia"/>
        <w:sz w:val="21"/>
        <w:szCs w:val="21"/>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291"/>
    <w:multiLevelType w:val="multilevel"/>
    <w:tmpl w:val="14467291"/>
    <w:lvl w:ilvl="0" w:tentative="0">
      <w:start w:val="1"/>
      <w:numFmt w:val="decimalEnclosedCircle"/>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725C8FA"/>
    <w:multiLevelType w:val="singleLevel"/>
    <w:tmpl w:val="5725C8FA"/>
    <w:lvl w:ilvl="0" w:tentative="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M_UUID" w:val="d5d36fc8-8a87-4ca4-a7b3-a5982c9aaa90"/>
  </w:docVars>
  <w:rsids>
    <w:rsidRoot w:val="0032542C"/>
    <w:rsid w:val="00227BF8"/>
    <w:rsid w:val="0032542C"/>
    <w:rsid w:val="004D7BC1"/>
    <w:rsid w:val="00511952"/>
    <w:rsid w:val="006B29F4"/>
    <w:rsid w:val="0076395E"/>
    <w:rsid w:val="00836C52"/>
    <w:rsid w:val="008D4A77"/>
    <w:rsid w:val="009152C2"/>
    <w:rsid w:val="00983ED9"/>
    <w:rsid w:val="00AA6710"/>
    <w:rsid w:val="00C14548"/>
    <w:rsid w:val="00E531DC"/>
    <w:rsid w:val="04147987"/>
    <w:rsid w:val="212A1C7B"/>
    <w:rsid w:val="27143C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3" w:lineRule="auto"/>
      <w:outlineLvl w:val="2"/>
    </w:pPr>
    <w:rPr>
      <w:b/>
      <w:bCs/>
      <w:sz w:val="32"/>
      <w:szCs w:val="32"/>
    </w:rPr>
  </w:style>
  <w:style w:type="character" w:default="1" w:styleId="19">
    <w:name w:val="Default Paragraph Font"/>
    <w:link w:val="20"/>
    <w:semiHidden/>
    <w:qFormat/>
    <w:uiPriority w:val="0"/>
  </w:style>
  <w:style w:type="table" w:default="1" w:styleId="26">
    <w:name w:val="Normal Table"/>
    <w:semiHidden/>
    <w:uiPriority w:val="0"/>
    <w:tblPr>
      <w:tblLayout w:type="fixed"/>
      <w:tblCellMar>
        <w:top w:w="0" w:type="dxa"/>
        <w:left w:w="108" w:type="dxa"/>
        <w:bottom w:w="0" w:type="dxa"/>
        <w:right w:w="108" w:type="dxa"/>
      </w:tblCellMar>
    </w:tblPr>
  </w:style>
  <w:style w:type="paragraph" w:styleId="5">
    <w:name w:val="Body Text"/>
    <w:basedOn w:val="1"/>
    <w:uiPriority w:val="0"/>
    <w:pPr>
      <w:spacing w:after="120"/>
    </w:pPr>
    <w:rPr>
      <w:szCs w:val="24"/>
    </w:rPr>
  </w:style>
  <w:style w:type="paragraph" w:styleId="6">
    <w:name w:val="Body Text Indent"/>
    <w:basedOn w:val="1"/>
    <w:uiPriority w:val="0"/>
    <w:pPr>
      <w:spacing w:line="360" w:lineRule="auto"/>
      <w:ind w:firstLine="560" w:firstLineChars="200"/>
    </w:pPr>
    <w:rPr>
      <w:rFonts w:ascii="仿宋_GB2312" w:hAnsi="宋体" w:eastAsia="仿宋_GB2312"/>
      <w:bCs/>
      <w:sz w:val="28"/>
      <w:szCs w:val="28"/>
    </w:rPr>
  </w:style>
  <w:style w:type="paragraph" w:styleId="7">
    <w:name w:val="toc 3"/>
    <w:basedOn w:val="1"/>
    <w:next w:val="1"/>
    <w:uiPriority w:val="0"/>
    <w:pPr>
      <w:tabs>
        <w:tab w:val="right" w:leader="dot" w:pos="9180"/>
      </w:tabs>
      <w:ind w:left="840" w:leftChars="400"/>
    </w:pPr>
    <w:rPr>
      <w:szCs w:val="24"/>
    </w:rPr>
  </w:style>
  <w:style w:type="paragraph" w:styleId="8">
    <w:name w:val="Plain Text"/>
    <w:basedOn w:val="1"/>
    <w:link w:val="40"/>
    <w:qFormat/>
    <w:uiPriority w:val="0"/>
    <w:rPr>
      <w:rFonts w:ascii="宋体" w:hAnsi="Courier New" w:cs="Courier New"/>
      <w:szCs w:val="21"/>
    </w:rPr>
  </w:style>
  <w:style w:type="paragraph" w:styleId="9">
    <w:name w:val="Date"/>
    <w:basedOn w:val="1"/>
    <w:next w:val="1"/>
    <w:uiPriority w:val="0"/>
    <w:pPr>
      <w:ind w:left="100" w:leftChars="2500"/>
    </w:pPr>
    <w:rPr>
      <w:b/>
      <w:sz w:val="28"/>
    </w:rPr>
  </w:style>
  <w:style w:type="paragraph" w:styleId="10">
    <w:name w:val="Body Text Indent 2"/>
    <w:basedOn w:val="1"/>
    <w:qFormat/>
    <w:uiPriority w:val="0"/>
    <w:pPr>
      <w:spacing w:after="120" w:line="480" w:lineRule="auto"/>
      <w:ind w:left="420" w:leftChars="200"/>
    </w:pPr>
    <w:rPr>
      <w:szCs w:val="24"/>
    </w:rPr>
  </w:style>
  <w:style w:type="paragraph" w:styleId="11">
    <w:name w:val="Balloon Text"/>
    <w:basedOn w:val="1"/>
    <w:uiPriority w:val="0"/>
    <w:rPr>
      <w:sz w:val="18"/>
      <w:szCs w:val="18"/>
    </w:rPr>
  </w:style>
  <w:style w:type="paragraph" w:styleId="12">
    <w:name w:val="footer"/>
    <w:basedOn w:val="1"/>
    <w:uiPriority w:val="0"/>
    <w:pPr>
      <w:tabs>
        <w:tab w:val="center" w:pos="4153"/>
        <w:tab w:val="right" w:pos="8306"/>
      </w:tabs>
      <w:snapToGrid w:val="0"/>
      <w:jc w:val="left"/>
    </w:pPr>
    <w:rPr>
      <w:sz w:val="18"/>
      <w:szCs w:val="18"/>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iPriority w:val="0"/>
    <w:pPr>
      <w:tabs>
        <w:tab w:val="right" w:leader="middleDot" w:pos="9060"/>
      </w:tabs>
      <w:spacing w:line="480" w:lineRule="auto"/>
    </w:pPr>
    <w:rPr>
      <w:rFonts w:ascii="仿宋_GB2312" w:eastAsia="仿宋_GB2312"/>
      <w:color w:val="000000"/>
      <w:sz w:val="32"/>
      <w:szCs w:val="32"/>
    </w:rPr>
  </w:style>
  <w:style w:type="paragraph" w:styleId="15">
    <w:name w:val="footnote text"/>
    <w:basedOn w:val="1"/>
    <w:qFormat/>
    <w:uiPriority w:val="0"/>
    <w:pPr>
      <w:snapToGrid w:val="0"/>
      <w:jc w:val="left"/>
    </w:pPr>
    <w:rPr>
      <w:sz w:val="18"/>
      <w:szCs w:val="18"/>
    </w:rPr>
  </w:style>
  <w:style w:type="paragraph" w:styleId="16">
    <w:name w:val="Body Text Indent 3"/>
    <w:basedOn w:val="1"/>
    <w:uiPriority w:val="0"/>
    <w:pPr>
      <w:spacing w:line="360" w:lineRule="auto"/>
      <w:ind w:left="602" w:hanging="602" w:hangingChars="200"/>
    </w:pPr>
    <w:rPr>
      <w:rFonts w:ascii="黑体" w:eastAsia="仿宋_GB2312"/>
      <w:b/>
      <w:sz w:val="30"/>
      <w:szCs w:val="24"/>
    </w:rPr>
  </w:style>
  <w:style w:type="paragraph" w:styleId="17">
    <w:name w:val="toc 2"/>
    <w:basedOn w:val="1"/>
    <w:next w:val="1"/>
    <w:uiPriority w:val="0"/>
    <w:pPr>
      <w:tabs>
        <w:tab w:val="right" w:leader="dot" w:pos="9180"/>
      </w:tabs>
      <w:spacing w:line="460" w:lineRule="exact"/>
      <w:ind w:left="178" w:leftChars="85" w:right="25" w:rightChars="12" w:firstLine="360" w:firstLineChars="150"/>
    </w:pPr>
    <w:rPr>
      <w:szCs w:val="24"/>
    </w:rPr>
  </w:style>
  <w:style w:type="paragraph" w:styleId="18">
    <w:name w:val="Normal (Web)"/>
    <w:basedOn w:val="1"/>
    <w:uiPriority w:val="0"/>
    <w:pPr>
      <w:widowControl/>
      <w:spacing w:before="100" w:beforeAutospacing="1" w:after="100" w:afterAutospacing="1"/>
      <w:jc w:val="left"/>
    </w:pPr>
    <w:rPr>
      <w:rFonts w:ascii="宋体" w:hAnsi="宋体"/>
      <w:kern w:val="0"/>
      <w:sz w:val="24"/>
      <w:szCs w:val="24"/>
    </w:rPr>
  </w:style>
  <w:style w:type="paragraph" w:customStyle="1" w:styleId="20">
    <w:name w:val="Char1"/>
    <w:basedOn w:val="1"/>
    <w:link w:val="19"/>
    <w:uiPriority w:val="0"/>
    <w:pPr>
      <w:widowControl/>
      <w:spacing w:after="160" w:line="240" w:lineRule="exact"/>
      <w:jc w:val="left"/>
    </w:pPr>
    <w:rPr>
      <w:rFonts w:ascii="Verdana" w:hAnsi="Verdana"/>
      <w:kern w:val="0"/>
      <w:sz w:val="20"/>
      <w:szCs w:val="24"/>
      <w:lang w:eastAsia="en-US"/>
    </w:rPr>
  </w:style>
  <w:style w:type="character" w:styleId="21">
    <w:name w:val="Strong"/>
    <w:qFormat/>
    <w:uiPriority w:val="0"/>
    <w:rPr>
      <w:b/>
      <w:bCs/>
    </w:rPr>
  </w:style>
  <w:style w:type="character" w:styleId="22">
    <w:name w:val="page number"/>
    <w:basedOn w:val="19"/>
    <w:uiPriority w:val="0"/>
  </w:style>
  <w:style w:type="character" w:styleId="23">
    <w:name w:val="Emphasis"/>
    <w:qFormat/>
    <w:uiPriority w:val="0"/>
    <w:rPr>
      <w:color w:val="CC0033"/>
    </w:rPr>
  </w:style>
  <w:style w:type="character" w:styleId="24">
    <w:name w:val="Hyperlink"/>
    <w:qFormat/>
    <w:uiPriority w:val="0"/>
    <w:rPr>
      <w:color w:val="0000FF"/>
      <w:u w:val="single"/>
    </w:rPr>
  </w:style>
  <w:style w:type="character" w:styleId="25">
    <w:name w:val="footnote reference"/>
    <w:uiPriority w:val="0"/>
    <w:rPr>
      <w:vertAlign w:val="superscript"/>
    </w:rPr>
  </w:style>
  <w:style w:type="paragraph" w:customStyle="1" w:styleId="27">
    <w:name w:val="普文"/>
    <w:basedOn w:val="1"/>
    <w:uiPriority w:val="0"/>
    <w:pPr>
      <w:spacing w:line="540" w:lineRule="exact"/>
      <w:ind w:firstLine="560" w:firstLineChars="200"/>
    </w:pPr>
    <w:rPr>
      <w:rFonts w:ascii="宋体" w:hAnsi="宋体"/>
      <w:sz w:val="28"/>
      <w:szCs w:val="28"/>
    </w:rPr>
  </w:style>
  <w:style w:type="paragraph" w:customStyle="1" w:styleId="28">
    <w:name w:val=" Char Char Char Char"/>
    <w:basedOn w:val="1"/>
    <w:uiPriority w:val="0"/>
    <w:pPr>
      <w:widowControl/>
      <w:spacing w:after="160" w:line="240" w:lineRule="exact"/>
      <w:jc w:val="left"/>
    </w:pPr>
    <w:rPr>
      <w:rFonts w:ascii="Verdana" w:hAnsi="Verdana"/>
      <w:kern w:val="0"/>
      <w:sz w:val="20"/>
      <w:lang w:eastAsia="en-US"/>
    </w:rPr>
  </w:style>
  <w:style w:type="paragraph" w:customStyle="1" w:styleId="29">
    <w:name w:val="默认段落字体 Para Char Char Char Char Char Char Char"/>
    <w:basedOn w:val="1"/>
    <w:uiPriority w:val="0"/>
    <w:rPr>
      <w:rFonts w:ascii="Tahoma" w:hAnsi="Tahoma"/>
      <w:sz w:val="24"/>
    </w:rPr>
  </w:style>
  <w:style w:type="paragraph" w:customStyle="1" w:styleId="30">
    <w:name w:val="p0"/>
    <w:basedOn w:val="1"/>
    <w:uiPriority w:val="0"/>
    <w:pPr>
      <w:widowControl/>
    </w:pPr>
    <w:rPr>
      <w:kern w:val="0"/>
      <w:szCs w:val="21"/>
    </w:rPr>
  </w:style>
  <w:style w:type="paragraph" w:customStyle="1" w:styleId="31">
    <w:name w:val=" Char"/>
    <w:basedOn w:val="1"/>
    <w:uiPriority w:val="0"/>
    <w:pPr>
      <w:widowControl/>
      <w:spacing w:after="160" w:line="240" w:lineRule="exact"/>
      <w:jc w:val="left"/>
    </w:pPr>
    <w:rPr>
      <w:rFonts w:ascii="Verdana" w:hAnsi="Verdana"/>
      <w:kern w:val="0"/>
      <w:sz w:val="20"/>
      <w:lang w:eastAsia="en-US"/>
    </w:rPr>
  </w:style>
  <w:style w:type="paragraph" w:customStyle="1" w:styleId="32">
    <w:name w:val=" Char Char1 Char Char Char Char Char Char"/>
    <w:basedOn w:val="1"/>
    <w:uiPriority w:val="0"/>
    <w:pPr>
      <w:widowControl/>
      <w:spacing w:after="160" w:line="240" w:lineRule="exact"/>
      <w:jc w:val="left"/>
    </w:pPr>
    <w:rPr>
      <w:rFonts w:ascii="Verdana" w:hAnsi="Verdana" w:eastAsia="仿宋_GB2312"/>
      <w:kern w:val="0"/>
      <w:sz w:val="24"/>
      <w:lang w:eastAsia="en-US"/>
    </w:rPr>
  </w:style>
  <w:style w:type="paragraph" w:customStyle="1" w:styleId="33">
    <w:name w:val="（一）二级标题"/>
    <w:basedOn w:val="1"/>
    <w:uiPriority w:val="0"/>
    <w:pPr>
      <w:spacing w:line="360" w:lineRule="auto"/>
      <w:ind w:firstLine="482" w:firstLineChars="200"/>
    </w:pPr>
    <w:rPr>
      <w:rFonts w:ascii="宋体" w:hAnsi="宋体"/>
      <w:b/>
      <w:color w:val="000000"/>
      <w:sz w:val="24"/>
      <w:szCs w:val="24"/>
    </w:rPr>
  </w:style>
  <w:style w:type="paragraph" w:customStyle="1" w:styleId="34">
    <w:name w:val=" Char Char1"/>
    <w:basedOn w:val="1"/>
    <w:uiPriority w:val="0"/>
    <w:rPr>
      <w:szCs w:val="24"/>
    </w:rPr>
  </w:style>
  <w:style w:type="paragraph" w:customStyle="1" w:styleId="35">
    <w:name w:val="内容"/>
    <w:basedOn w:val="1"/>
    <w:uiPriority w:val="0"/>
    <w:pPr>
      <w:snapToGrid w:val="0"/>
      <w:spacing w:line="360" w:lineRule="auto"/>
      <w:ind w:firstLine="420" w:firstLineChars="200"/>
    </w:pPr>
    <w:rPr>
      <w:rFonts w:ascii="宋体" w:hAnsi="宋体"/>
      <w:color w:val="000000"/>
      <w:szCs w:val="21"/>
    </w:rPr>
  </w:style>
  <w:style w:type="paragraph" w:customStyle="1" w:styleId="36">
    <w:name w:val="文本"/>
    <w:basedOn w:val="1"/>
    <w:uiPriority w:val="0"/>
    <w:pPr>
      <w:spacing w:before="78" w:beforeLines="25" w:after="78" w:afterLines="25"/>
      <w:ind w:firstLine="420"/>
    </w:pPr>
    <w:rPr>
      <w:szCs w:val="24"/>
    </w:rPr>
  </w:style>
  <w:style w:type="paragraph" w:customStyle="1" w:styleId="37">
    <w:name w:val="style2 style3"/>
    <w:basedOn w:val="1"/>
    <w:qFormat/>
    <w:uiPriority w:val="0"/>
    <w:pPr>
      <w:widowControl/>
      <w:spacing w:before="100" w:beforeAutospacing="1" w:after="100" w:afterAutospacing="1"/>
      <w:jc w:val="left"/>
    </w:pPr>
    <w:rPr>
      <w:rFonts w:ascii="宋体" w:hAnsi="宋体" w:cs="宋体"/>
      <w:kern w:val="0"/>
      <w:sz w:val="24"/>
      <w:szCs w:val="24"/>
      <w:lang w:bidi="th-TH"/>
    </w:rPr>
  </w:style>
  <w:style w:type="paragraph" w:customStyle="1" w:styleId="38">
    <w:name w:val="List Paragraph1"/>
    <w:basedOn w:val="1"/>
    <w:uiPriority w:val="0"/>
    <w:pPr>
      <w:ind w:firstLine="420" w:firstLineChars="200"/>
    </w:pPr>
    <w:rPr>
      <w:rFonts w:ascii="Calibri" w:hAnsi="Calibri" w:cs="宋体"/>
      <w:szCs w:val="21"/>
    </w:rPr>
  </w:style>
  <w:style w:type="paragraph" w:customStyle="1" w:styleId="39">
    <w:name w:val="Char"/>
    <w:basedOn w:val="1"/>
    <w:qFormat/>
    <w:uiPriority w:val="0"/>
    <w:pPr>
      <w:spacing w:line="360" w:lineRule="auto"/>
    </w:pPr>
    <w:rPr>
      <w:rFonts w:ascii="Tahoma" w:hAnsi="Tahoma"/>
      <w:sz w:val="24"/>
    </w:rPr>
  </w:style>
  <w:style w:type="character" w:customStyle="1" w:styleId="40">
    <w:name w:val="Plain Text Char"/>
    <w:basedOn w:val="19"/>
    <w:link w:val="8"/>
    <w:semiHidden/>
    <w:locked/>
    <w:uiPriority w:val="0"/>
    <w:rPr>
      <w:rFonts w:ascii="宋体" w:hAnsi="Courier New" w:eastAsia="宋体" w:cs="Courier New"/>
      <w:kern w:val="2"/>
      <w:sz w:val="21"/>
      <w:szCs w:val="21"/>
      <w:lang w:val="en-US" w:eastAsia="zh-CN" w:bidi="ar-SA"/>
    </w:rPr>
  </w:style>
  <w:style w:type="character" w:customStyle="1" w:styleId="41">
    <w:name w:val="脚注文本 Char Char"/>
    <w:uiPriority w:val="0"/>
    <w:rPr>
      <w:rFonts w:eastAsia="宋体"/>
      <w:kern w:val="2"/>
      <w:sz w:val="18"/>
      <w:szCs w:val="18"/>
      <w:lang w:val="en-US" w:eastAsia="zh-CN" w:bidi="ar-SA"/>
    </w:rPr>
  </w:style>
  <w:style w:type="character" w:customStyle="1" w:styleId="42">
    <w:name w:val=" Char Char Char"/>
    <w:uiPriority w:val="0"/>
    <w:rPr>
      <w:rFonts w:eastAsia="宋体"/>
      <w:kern w:val="2"/>
      <w:sz w:val="18"/>
      <w:szCs w:val="18"/>
      <w:lang w:val="en-US" w:eastAsia="zh-CN" w:bidi="ar-SA"/>
    </w:rPr>
  </w:style>
  <w:style w:type="character" w:customStyle="1" w:styleId="43">
    <w:name w:val="style31"/>
    <w:uiPriority w:val="0"/>
    <w:rPr>
      <w:color w:val="FF9900"/>
    </w:rPr>
  </w:style>
  <w:style w:type="character" w:customStyle="1" w:styleId="44">
    <w:name w:val="pl011"/>
    <w:uiPriority w:val="0"/>
    <w:rPr>
      <w:rFonts w:hint="eastAsia" w:ascii="宋体" w:hAnsi="宋体" w:eastAsia="宋体"/>
      <w:b/>
      <w:bCs/>
      <w:color w:val="3355A2"/>
      <w:sz w:val="27"/>
      <w:szCs w:val="27"/>
    </w:rPr>
  </w:style>
  <w:style w:type="character" w:customStyle="1" w:styleId="45">
    <w:name w:val="标题 2 Char Char"/>
    <w:uiPriority w:val="0"/>
    <w:rPr>
      <w:rFonts w:ascii="Arial" w:hAnsi="Arial" w:eastAsia="黑体"/>
      <w:b/>
      <w:bCs/>
      <w:kern w:val="2"/>
      <w:sz w:val="32"/>
      <w:szCs w:val="32"/>
      <w:lang w:val="en-US" w:eastAsia="zh-CN" w:bidi="ar-SA"/>
    </w:rPr>
  </w:style>
  <w:style w:type="character" w:customStyle="1" w:styleId="46">
    <w:name w:val="内容 Char Char"/>
    <w:qFormat/>
    <w:uiPriority w:val="0"/>
    <w:rPr>
      <w:rFonts w:ascii="宋体" w:hAnsi="宋体" w:eastAsia="宋体"/>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png"/><Relationship Id="rId22" Type="http://schemas.openxmlformats.org/officeDocument/2006/relationships/image" Target="media/image1.jpeg"/><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MSCD龙帝国技术社区 Htpp://Bbs.Mscode.Cc</Company>
  <Pages>149</Pages>
  <Words>11905</Words>
  <Characters>67859</Characters>
  <Lines>565</Lines>
  <Paragraphs>159</Paragraphs>
  <TotalTime>1</TotalTime>
  <ScaleCrop>false</ScaleCrop>
  <LinksUpToDate>false</LinksUpToDate>
  <CharactersWithSpaces>79605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2017-03-27T07:03:00Z</dcterms:created>
  <dc:creator>微软用户</dc:creator>
  <cp:lastModifiedBy>anan</cp:lastModifiedBy>
  <cp:lastPrinted>2017-03-28T01:46:00Z</cp:lastPrinted>
  <dcterms:modified xsi:type="dcterms:W3CDTF">2018-07-10T23:28:59Z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